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Scripture Reading: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 Samuel 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Sermon Title: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How we view God changes how we trust Him 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Goal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reflect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examine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or view of God character through the writing of David in 2 Sam 22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Purpose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As a result of observing David’s view of God in this passage, it will lead us to deepen our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trust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in God.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Sub Points/Layout for message: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Character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of God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can commit to God's way because his way is tied to his character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God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Equips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Positions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people for his glory</w:t>
      </w:r>
    </w:p>
    <w:p w:rsidR="00000000" w:rsidDel="00000000" w:rsidP="00000000" w:rsidRDefault="00000000" w:rsidRPr="00000000" w14:paraId="0000000F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The Character of God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v. 1- 4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David understood that all the things that normally would give someone reason to boast don't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c4587"/>
          <w:rtl w:val="0"/>
        </w:rPr>
        <w:t xml:space="preserve">hold up when compared to the character of God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David writings highlight that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God’s character is one who is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155cc"/>
          <w:u w:val="single"/>
          <w:rtl w:val="0"/>
        </w:rPr>
        <w:t xml:space="preserve">faithful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and will never fail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And because he is faithful he is the only thing worthy of worship and foundation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When our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155cc"/>
          <w:rtl w:val="0"/>
        </w:rPr>
        <w:t xml:space="preserve">foundation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is rooted in the words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155cc"/>
          <w:rtl w:val="0"/>
        </w:rPr>
        <w:t xml:space="preserve">Character of God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it changes how we experience life 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good things in our life are meant to be an image of how God is better, James 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God being the author or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155cc"/>
          <w:rtl w:val="0"/>
        </w:rPr>
        <w:t xml:space="preserve">foundation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of God is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better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than the the good things he allows us to experience 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v. 5 &amp; 6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Reveal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how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David's experiences are changed when God is set as his foundation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presence of affliction does not overshadow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155cc"/>
          <w:rtl w:val="0"/>
        </w:rPr>
        <w:t xml:space="preserve">goodness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of God. Job highlights the same idea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v. 7-20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character of God is one who loves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155cc"/>
          <w:rtl w:val="0"/>
        </w:rPr>
        <w:t xml:space="preserve">ferociously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God does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c78d8"/>
          <w:rtl w:val="0"/>
        </w:rPr>
        <w:t xml:space="preserve">good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because that's who he is. 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v. 21-31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God is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c78d8"/>
          <w:rtl w:val="0"/>
        </w:rPr>
        <w:t xml:space="preserve">just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God,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 makes our way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blameless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Our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b5394"/>
          <w:rtl w:val="0"/>
        </w:rPr>
        <w:t xml:space="preserve">commitment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to the ways of God reveal our trust in Him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God attaches blessing to does who pursue holiness (Psalm 25:3)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v. 32-51 -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v32 - 43: equipping of God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v44 - 51: positioning of 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God positions and equips the people for his Glory </w:t>
        <w:tab/>
        <w:t xml:space="preserve"> 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God constantly positions his people in high places despite their weakness for his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155cc"/>
          <w:rtl w:val="0"/>
        </w:rPr>
        <w:t xml:space="preserve">glory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(Moses, Esther, etc). 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He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justifies those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He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calls. 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boast in our weakness because we understand that it's God’s strength and provision that will sustain us and bring flourishing.  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Takeaways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When we take time to reflect on the works of God, we create opportunity for greater worship 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nt5rn8MjW0txzWIYnTt2LFa08w==">CgMxLjA4AHIhMWIxWWJ2VzdxZC1zV0phNFd2Y2lySF9vUUlpaWpDN19u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