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9DC60" w14:textId="72164053" w:rsidR="00B42922" w:rsidRDefault="00B42922" w:rsidP="00B42922">
      <w:pPr>
        <w:jc w:val="center"/>
        <w:rPr>
          <w:b/>
          <w:bCs/>
        </w:rPr>
      </w:pPr>
      <w:r>
        <w:rPr>
          <w:b/>
          <w:bCs/>
        </w:rPr>
        <w:t xml:space="preserve">Blessed Assurance – An Introduction to </w:t>
      </w:r>
      <w:r w:rsidR="00C41A35">
        <w:rPr>
          <w:b/>
          <w:bCs/>
        </w:rPr>
        <w:t>First</w:t>
      </w:r>
      <w:r>
        <w:rPr>
          <w:b/>
          <w:bCs/>
        </w:rPr>
        <w:t xml:space="preserve"> John</w:t>
      </w:r>
    </w:p>
    <w:p w14:paraId="1B71C2F9" w14:textId="285A51A3" w:rsidR="00B42922" w:rsidRPr="00E0510A" w:rsidRDefault="00B42922" w:rsidP="00B42922">
      <w:r w:rsidRPr="00E0510A">
        <w:t xml:space="preserve">This morning, we will take an overview of the letter of first John. This will be our series for the </w:t>
      </w:r>
      <w:r w:rsidR="00064086">
        <w:t>s</w:t>
      </w:r>
      <w:r w:rsidRPr="00E0510A">
        <w:t xml:space="preserve">ummer and into the </w:t>
      </w:r>
      <w:r w:rsidR="00064086">
        <w:t>f</w:t>
      </w:r>
      <w:r w:rsidRPr="00E0510A">
        <w:t>all</w:t>
      </w:r>
      <w:r w:rsidR="00064086">
        <w:t xml:space="preserve"> of</w:t>
      </w:r>
      <w:r w:rsidRPr="00E0510A">
        <w:t xml:space="preserve"> 2024. This will serve us well since we have been in John’s gospel for the last 18 months. We will find characteristics very common between these two books.</w:t>
      </w:r>
    </w:p>
    <w:p w14:paraId="4C0F4509" w14:textId="58F91137" w:rsidR="00E0510A" w:rsidRDefault="00E0510A" w:rsidP="00E0510A">
      <w:pPr>
        <w:pStyle w:val="ListParagraph"/>
        <w:numPr>
          <w:ilvl w:val="0"/>
          <w:numId w:val="1"/>
        </w:numPr>
      </w:pPr>
      <w:r>
        <w:rPr>
          <w:b/>
          <w:bCs/>
        </w:rPr>
        <w:t xml:space="preserve">The </w:t>
      </w:r>
      <w:r>
        <w:rPr>
          <w:b/>
          <w:bCs/>
          <w:u w:val="single"/>
        </w:rPr>
        <w:t>author</w:t>
      </w:r>
      <w:r>
        <w:rPr>
          <w:b/>
          <w:bCs/>
        </w:rPr>
        <w:t xml:space="preserve"> of First John. </w:t>
      </w:r>
      <w:r w:rsidRPr="00E0510A">
        <w:t>Most conservative scholars agree that the author of the Gospel of John, the three Epistles</w:t>
      </w:r>
      <w:r w:rsidR="000860A8">
        <w:t>,</w:t>
      </w:r>
      <w:r w:rsidRPr="00E0510A">
        <w:t xml:space="preserve"> and the Revelation are all written by the Apostle John.</w:t>
      </w:r>
      <w:r>
        <w:t xml:space="preserve"> </w:t>
      </w:r>
    </w:p>
    <w:p w14:paraId="0A1D49BE" w14:textId="77777777" w:rsidR="00A72987" w:rsidRPr="00A72987" w:rsidRDefault="00A72987" w:rsidP="00A72987">
      <w:pPr>
        <w:pStyle w:val="ListParagraph"/>
      </w:pPr>
    </w:p>
    <w:p w14:paraId="146402A9" w14:textId="0C1BB879" w:rsidR="00766811" w:rsidRPr="00766811" w:rsidRDefault="00E0510A" w:rsidP="00766811">
      <w:pPr>
        <w:pStyle w:val="ListParagraph"/>
        <w:numPr>
          <w:ilvl w:val="0"/>
          <w:numId w:val="1"/>
        </w:numPr>
      </w:pPr>
      <w:r w:rsidRPr="00A72987">
        <w:rPr>
          <w:b/>
          <w:bCs/>
        </w:rPr>
        <w:t xml:space="preserve">The </w:t>
      </w:r>
      <w:r w:rsidRPr="00A72987">
        <w:rPr>
          <w:b/>
          <w:bCs/>
          <w:u w:val="single"/>
        </w:rPr>
        <w:t>audience</w:t>
      </w:r>
      <w:r w:rsidRPr="00A72987">
        <w:rPr>
          <w:b/>
          <w:bCs/>
        </w:rPr>
        <w:t xml:space="preserve"> of First John. </w:t>
      </w:r>
      <w:r w:rsidR="00766811" w:rsidRPr="00766811">
        <w:t>This First Epistle of John is one of the most beloved of all the general epistles.</w:t>
      </w:r>
      <w:r w:rsidR="00A72987">
        <w:t xml:space="preserve"> </w:t>
      </w:r>
      <w:r w:rsidR="00766811" w:rsidRPr="00766811">
        <w:t>There are seven general epistles grouped together near the end of the New Testament</w:t>
      </w:r>
      <w:r w:rsidR="005860F6">
        <w:t>,</w:t>
      </w:r>
      <w:r w:rsidR="00766811" w:rsidRPr="00766811">
        <w:t xml:space="preserve"> not because they are of lesser importance, but because they do not address a particular audience, unlike the writings of the apostle Paul, whose letters were addressed to specific individuals or audiences.</w:t>
      </w:r>
    </w:p>
    <w:p w14:paraId="4D0031D8" w14:textId="4D4748F9" w:rsidR="00E0510A" w:rsidRPr="00766811" w:rsidRDefault="00766811" w:rsidP="00766811">
      <w:r>
        <w:t>T</w:t>
      </w:r>
      <w:r w:rsidRPr="00766811">
        <w:t>he general epistles</w:t>
      </w:r>
      <w:r>
        <w:t xml:space="preserve"> include </w:t>
      </w:r>
      <w:r w:rsidRPr="00766811">
        <w:t>Hebrews</w:t>
      </w:r>
      <w:r w:rsidR="00881615">
        <w:t>;</w:t>
      </w:r>
      <w:r w:rsidRPr="00766811">
        <w:t xml:space="preserve"> James</w:t>
      </w:r>
      <w:r w:rsidR="00881615">
        <w:t>;</w:t>
      </w:r>
      <w:r w:rsidRPr="00766811">
        <w:t xml:space="preserve"> 1 and 2 Peter</w:t>
      </w:r>
      <w:r w:rsidR="00881615">
        <w:t>;</w:t>
      </w:r>
      <w:r w:rsidRPr="00766811">
        <w:t xml:space="preserve"> 1, 2, and 3 John</w:t>
      </w:r>
      <w:r w:rsidR="004E7F3D">
        <w:t>;</w:t>
      </w:r>
      <w:r w:rsidRPr="00766811">
        <w:t xml:space="preserve"> and Jude</w:t>
      </w:r>
      <w:r>
        <w:t>.</w:t>
      </w:r>
    </w:p>
    <w:p w14:paraId="068F20B0" w14:textId="033244DD" w:rsidR="00B42922" w:rsidRPr="007960B2" w:rsidRDefault="007960B2" w:rsidP="007960B2">
      <w:pPr>
        <w:pStyle w:val="ListParagraph"/>
        <w:numPr>
          <w:ilvl w:val="0"/>
          <w:numId w:val="1"/>
        </w:numPr>
        <w:rPr>
          <w:b/>
          <w:bCs/>
        </w:rPr>
      </w:pPr>
      <w:r>
        <w:rPr>
          <w:b/>
          <w:bCs/>
        </w:rPr>
        <w:t xml:space="preserve">The </w:t>
      </w:r>
      <w:r>
        <w:rPr>
          <w:b/>
          <w:bCs/>
          <w:u w:val="single"/>
        </w:rPr>
        <w:t>prologue</w:t>
      </w:r>
      <w:r>
        <w:rPr>
          <w:b/>
          <w:bCs/>
        </w:rPr>
        <w:t xml:space="preserve"> of First John. </w:t>
      </w:r>
      <w:r w:rsidR="002B0FAA">
        <w:rPr>
          <w:b/>
          <w:bCs/>
        </w:rPr>
        <w:t>(</w:t>
      </w:r>
      <w:r>
        <w:rPr>
          <w:b/>
          <w:bCs/>
        </w:rPr>
        <w:t>1:1-4</w:t>
      </w:r>
      <w:r w:rsidR="002B0FAA">
        <w:rPr>
          <w:b/>
          <w:bCs/>
        </w:rPr>
        <w:t>)</w:t>
      </w:r>
      <w:r>
        <w:rPr>
          <w:b/>
          <w:bCs/>
        </w:rPr>
        <w:t xml:space="preserve"> </w:t>
      </w:r>
      <w:r>
        <w:t>Much like the opening of the Gospel of John, the prologue in this first letter of John contains many of the themes which will be addressed within the letter. Among them are these three:</w:t>
      </w:r>
    </w:p>
    <w:p w14:paraId="7789A94E" w14:textId="0B987AC1" w:rsidR="007960B2" w:rsidRDefault="007960B2" w:rsidP="007960B2">
      <w:pPr>
        <w:pStyle w:val="ListParagraph"/>
        <w:numPr>
          <w:ilvl w:val="1"/>
          <w:numId w:val="1"/>
        </w:numPr>
        <w:rPr>
          <w:b/>
          <w:bCs/>
        </w:rPr>
      </w:pPr>
      <w:r>
        <w:rPr>
          <w:b/>
          <w:bCs/>
        </w:rPr>
        <w:t xml:space="preserve">The </w:t>
      </w:r>
      <w:r w:rsidR="00E14097">
        <w:rPr>
          <w:b/>
          <w:bCs/>
        </w:rPr>
        <w:t>significance</w:t>
      </w:r>
      <w:r>
        <w:rPr>
          <w:b/>
          <w:bCs/>
        </w:rPr>
        <w:t xml:space="preserve"> of </w:t>
      </w:r>
      <w:r>
        <w:rPr>
          <w:b/>
          <w:bCs/>
          <w:u w:val="single"/>
        </w:rPr>
        <w:t>eye-witness</w:t>
      </w:r>
      <w:r>
        <w:rPr>
          <w:b/>
          <w:bCs/>
        </w:rPr>
        <w:t xml:space="preserve"> testimony. (4:14)</w:t>
      </w:r>
    </w:p>
    <w:p w14:paraId="05FAF0B0" w14:textId="1C012FB4" w:rsidR="007960B2" w:rsidRDefault="007960B2" w:rsidP="007960B2">
      <w:pPr>
        <w:pStyle w:val="ListParagraph"/>
        <w:numPr>
          <w:ilvl w:val="1"/>
          <w:numId w:val="1"/>
        </w:numPr>
        <w:rPr>
          <w:b/>
          <w:bCs/>
        </w:rPr>
      </w:pPr>
      <w:r>
        <w:rPr>
          <w:b/>
          <w:bCs/>
        </w:rPr>
        <w:t xml:space="preserve">The importance of </w:t>
      </w:r>
      <w:r w:rsidR="00E14097">
        <w:rPr>
          <w:b/>
          <w:bCs/>
        </w:rPr>
        <w:t xml:space="preserve">the </w:t>
      </w:r>
      <w:r w:rsidR="00E14097">
        <w:rPr>
          <w:b/>
          <w:bCs/>
          <w:u w:val="single"/>
        </w:rPr>
        <w:t>earthly</w:t>
      </w:r>
      <w:r w:rsidR="00E14097">
        <w:rPr>
          <w:b/>
          <w:bCs/>
        </w:rPr>
        <w:t xml:space="preserve"> ministry of Jesus. (4:2</w:t>
      </w:r>
      <w:r w:rsidR="0059724F">
        <w:rPr>
          <w:b/>
          <w:bCs/>
        </w:rPr>
        <w:t>,</w:t>
      </w:r>
      <w:r w:rsidR="00E14097">
        <w:rPr>
          <w:b/>
          <w:bCs/>
        </w:rPr>
        <w:t xml:space="preserve"> 5:6)</w:t>
      </w:r>
    </w:p>
    <w:p w14:paraId="501A5B7A" w14:textId="4A83F087" w:rsidR="00E14097" w:rsidRDefault="00E14097" w:rsidP="007960B2">
      <w:pPr>
        <w:pStyle w:val="ListParagraph"/>
        <w:numPr>
          <w:ilvl w:val="1"/>
          <w:numId w:val="1"/>
        </w:numPr>
        <w:rPr>
          <w:b/>
          <w:bCs/>
        </w:rPr>
      </w:pPr>
      <w:r>
        <w:rPr>
          <w:b/>
          <w:bCs/>
        </w:rPr>
        <w:t xml:space="preserve">The gift of </w:t>
      </w:r>
      <w:r>
        <w:rPr>
          <w:b/>
          <w:bCs/>
          <w:u w:val="single"/>
        </w:rPr>
        <w:t>eternal</w:t>
      </w:r>
      <w:r>
        <w:rPr>
          <w:b/>
          <w:bCs/>
        </w:rPr>
        <w:t xml:space="preserve"> life bringing fellowship with God</w:t>
      </w:r>
      <w:r w:rsidR="0059724F">
        <w:rPr>
          <w:b/>
          <w:bCs/>
        </w:rPr>
        <w:t>:</w:t>
      </w:r>
      <w:r>
        <w:rPr>
          <w:b/>
          <w:bCs/>
        </w:rPr>
        <w:t xml:space="preserve"> Father and Son. (5:20)</w:t>
      </w:r>
    </w:p>
    <w:p w14:paraId="65FA8E13" w14:textId="77777777" w:rsidR="00766811" w:rsidRDefault="00766811" w:rsidP="00766811">
      <w:pPr>
        <w:pStyle w:val="ListParagraph"/>
        <w:ind w:left="1440"/>
        <w:rPr>
          <w:b/>
          <w:bCs/>
        </w:rPr>
      </w:pPr>
    </w:p>
    <w:p w14:paraId="6DFE29F2" w14:textId="7F07B737" w:rsidR="00766811" w:rsidRDefault="00766811" w:rsidP="00766811">
      <w:pPr>
        <w:pStyle w:val="ListParagraph"/>
        <w:numPr>
          <w:ilvl w:val="0"/>
          <w:numId w:val="1"/>
        </w:numPr>
      </w:pPr>
      <w:r w:rsidRPr="00766811">
        <w:rPr>
          <w:b/>
          <w:bCs/>
        </w:rPr>
        <w:t xml:space="preserve">The writing style and </w:t>
      </w:r>
      <w:r>
        <w:rPr>
          <w:b/>
          <w:bCs/>
        </w:rPr>
        <w:t xml:space="preserve">similar </w:t>
      </w:r>
      <w:r w:rsidRPr="00766811">
        <w:rPr>
          <w:b/>
          <w:bCs/>
          <w:u w:val="single"/>
        </w:rPr>
        <w:t>content</w:t>
      </w:r>
      <w:r w:rsidRPr="00582D5B">
        <w:rPr>
          <w:b/>
          <w:bCs/>
        </w:rPr>
        <w:t xml:space="preserve"> </w:t>
      </w:r>
      <w:r w:rsidRPr="00766811">
        <w:rPr>
          <w:b/>
          <w:bCs/>
        </w:rPr>
        <w:t xml:space="preserve">of First John. </w:t>
      </w:r>
      <w:r w:rsidRPr="00766811">
        <w:t xml:space="preserve">The style and vocabulary of John’s Gospel and 1 John are so similar that a common author is extremely likely. </w:t>
      </w:r>
    </w:p>
    <w:p w14:paraId="000BF418" w14:textId="77777777" w:rsidR="00766811" w:rsidRDefault="00766811" w:rsidP="007A675B">
      <w:r w:rsidRPr="00766811">
        <w:t xml:space="preserve">This is particularly evident in the opening verses of the respective writings, but the language of the Gospel echoes across the whole epistle. </w:t>
      </w:r>
    </w:p>
    <w:p w14:paraId="41983951" w14:textId="43C81314" w:rsidR="00766811" w:rsidRDefault="00766811" w:rsidP="007A675B">
      <w:r w:rsidRPr="00766811">
        <w:t xml:space="preserve">For example, only verb forms of “believe” occur (about a hundred times) in John’s Gospel; the noun “faith” never appears. First John follows suit with nine occurrences of a verb form of “believe” and just one use of the word “faith” (1 John 5:4). </w:t>
      </w:r>
    </w:p>
    <w:p w14:paraId="3046500E" w14:textId="534D5EF6" w:rsidR="007A675B" w:rsidRDefault="00766811" w:rsidP="007A675B">
      <w:r w:rsidRPr="00766811">
        <w:t>Second, major themes and emphases of the writings overlap. These include Christ’s simultaneous full humanity and divinity, the close relationship between believing (faith, doctrine) and obeying God’s commandments (ethics), and the primacy of love as marking authentic knowledge of the true God through trust in his Son.</w:t>
      </w:r>
    </w:p>
    <w:p w14:paraId="428D36E1" w14:textId="68990D1D" w:rsidR="007A675B" w:rsidRDefault="007A675B" w:rsidP="007A675B">
      <w:pPr>
        <w:pStyle w:val="ListParagraph"/>
        <w:numPr>
          <w:ilvl w:val="0"/>
          <w:numId w:val="4"/>
        </w:numPr>
      </w:pPr>
      <w:r w:rsidRPr="007A675B">
        <w:rPr>
          <w:b/>
          <w:bCs/>
        </w:rPr>
        <w:t xml:space="preserve">The </w:t>
      </w:r>
      <w:r w:rsidRPr="007A675B">
        <w:rPr>
          <w:b/>
          <w:bCs/>
          <w:u w:val="single"/>
        </w:rPr>
        <w:t>character</w:t>
      </w:r>
      <w:r w:rsidRPr="007A675B">
        <w:rPr>
          <w:b/>
          <w:bCs/>
        </w:rPr>
        <w:t xml:space="preserve"> of God revealed. </w:t>
      </w:r>
      <w:r>
        <w:t>The letter reveals God’s nature by focusing his readers upon two primary attributes: God is Light! God is Love!</w:t>
      </w:r>
    </w:p>
    <w:p w14:paraId="0BE8C5EF" w14:textId="353902CC" w:rsidR="007A675B" w:rsidRDefault="00A72987" w:rsidP="007A675B">
      <w:r>
        <w:t>(</w:t>
      </w:r>
      <w:r w:rsidR="007A675B">
        <w:t>1</w:t>
      </w:r>
      <w:r>
        <w:t xml:space="preserve"> </w:t>
      </w:r>
      <w:r w:rsidR="007A675B">
        <w:t>John 1:5</w:t>
      </w:r>
      <w:r>
        <w:t xml:space="preserve">; </w:t>
      </w:r>
      <w:r w:rsidR="007A675B">
        <w:t>1 John 4:7</w:t>
      </w:r>
      <w:r>
        <w:t xml:space="preserve">-11; </w:t>
      </w:r>
      <w:r w:rsidR="007A675B">
        <w:t>1 John 4:19</w:t>
      </w:r>
      <w:r>
        <w:t>-20)</w:t>
      </w:r>
    </w:p>
    <w:p w14:paraId="487D394E" w14:textId="6AB46178" w:rsidR="007A675B" w:rsidRDefault="00766811" w:rsidP="00766811">
      <w:pPr>
        <w:pStyle w:val="ListParagraph"/>
        <w:numPr>
          <w:ilvl w:val="0"/>
          <w:numId w:val="2"/>
        </w:numPr>
      </w:pPr>
      <w:r>
        <w:rPr>
          <w:b/>
          <w:bCs/>
        </w:rPr>
        <w:t xml:space="preserve">The </w:t>
      </w:r>
      <w:r w:rsidRPr="007A675B">
        <w:rPr>
          <w:b/>
          <w:bCs/>
          <w:u w:val="single"/>
        </w:rPr>
        <w:t>c</w:t>
      </w:r>
      <w:r w:rsidR="007A675B" w:rsidRPr="007A675B">
        <w:rPr>
          <w:b/>
          <w:bCs/>
          <w:u w:val="single"/>
        </w:rPr>
        <w:t>onclusion</w:t>
      </w:r>
      <w:r w:rsidR="007A675B">
        <w:rPr>
          <w:b/>
          <w:bCs/>
        </w:rPr>
        <w:t xml:space="preserve"> of the whole matter. </w:t>
      </w:r>
      <w:r w:rsidR="007A675B">
        <w:t>If God is Light (holy) and we are sinful; how can we have fellowship together? It is because God is also Love</w:t>
      </w:r>
      <w:r w:rsidR="00426C6E">
        <w:t>.</w:t>
      </w:r>
      <w:r w:rsidR="007A675B">
        <w:t xml:space="preserve"> He provided His Son as a propitiation for our sin! </w:t>
      </w:r>
    </w:p>
    <w:p w14:paraId="34ABA57C" w14:textId="1F75ECB3" w:rsidR="007A675B" w:rsidRPr="007A675B" w:rsidRDefault="007A675B" w:rsidP="007A675B">
      <w:pPr>
        <w:rPr>
          <w:b/>
          <w:bCs/>
        </w:rPr>
      </w:pPr>
      <w:r w:rsidRPr="007A675B">
        <w:rPr>
          <w:b/>
          <w:bCs/>
        </w:rPr>
        <w:t>Application: The blood of Christ cleanses us from all sin.</w:t>
      </w:r>
    </w:p>
    <w:p w14:paraId="300F2B0F" w14:textId="0A62732E" w:rsidR="007A675B" w:rsidRPr="007A675B" w:rsidRDefault="007A675B" w:rsidP="007A675B">
      <w:pPr>
        <w:rPr>
          <w:b/>
          <w:bCs/>
        </w:rPr>
      </w:pPr>
      <w:r w:rsidRPr="007A675B">
        <w:rPr>
          <w:b/>
          <w:bCs/>
        </w:rPr>
        <w:t>When we sin, the blood of Christ stands for us</w:t>
      </w:r>
      <w:r w:rsidR="00D83131">
        <w:rPr>
          <w:b/>
          <w:bCs/>
        </w:rPr>
        <w:t>,</w:t>
      </w:r>
      <w:r w:rsidRPr="007A675B">
        <w:rPr>
          <w:b/>
          <w:bCs/>
        </w:rPr>
        <w:t xml:space="preserve"> and the Son of God is our advocate, mediator</w:t>
      </w:r>
      <w:r w:rsidR="00D83131">
        <w:rPr>
          <w:b/>
          <w:bCs/>
        </w:rPr>
        <w:t>,</w:t>
      </w:r>
      <w:r w:rsidRPr="007A675B">
        <w:rPr>
          <w:b/>
          <w:bCs/>
        </w:rPr>
        <w:t xml:space="preserve"> and propitiation!</w:t>
      </w:r>
    </w:p>
    <w:p w14:paraId="0D505BA8" w14:textId="77777777" w:rsidR="007A675B" w:rsidRDefault="007A675B" w:rsidP="007A675B"/>
    <w:sectPr w:rsidR="007A675B" w:rsidSect="00A72987">
      <w:pgSz w:w="12240" w:h="15840"/>
      <w:pgMar w:top="720" w:right="720" w:bottom="8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7596"/>
    <w:multiLevelType w:val="hybridMultilevel"/>
    <w:tmpl w:val="3B4E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766F5"/>
    <w:multiLevelType w:val="hybridMultilevel"/>
    <w:tmpl w:val="32FC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F4197"/>
    <w:multiLevelType w:val="hybridMultilevel"/>
    <w:tmpl w:val="073A986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864685F"/>
    <w:multiLevelType w:val="hybridMultilevel"/>
    <w:tmpl w:val="C56C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879622">
    <w:abstractNumId w:val="0"/>
  </w:num>
  <w:num w:numId="2" w16cid:durableId="471799079">
    <w:abstractNumId w:val="2"/>
  </w:num>
  <w:num w:numId="3" w16cid:durableId="38749725">
    <w:abstractNumId w:val="1"/>
  </w:num>
  <w:num w:numId="4" w16cid:durableId="157104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2"/>
    <w:rsid w:val="00010D0D"/>
    <w:rsid w:val="00064086"/>
    <w:rsid w:val="000860A8"/>
    <w:rsid w:val="00086C0D"/>
    <w:rsid w:val="00241AD6"/>
    <w:rsid w:val="002B0FAA"/>
    <w:rsid w:val="00426C6E"/>
    <w:rsid w:val="0047311B"/>
    <w:rsid w:val="004E7F3D"/>
    <w:rsid w:val="0057056C"/>
    <w:rsid w:val="00582D5B"/>
    <w:rsid w:val="005860F6"/>
    <w:rsid w:val="0059724F"/>
    <w:rsid w:val="006968D3"/>
    <w:rsid w:val="006A25DD"/>
    <w:rsid w:val="006F57DB"/>
    <w:rsid w:val="00727FAA"/>
    <w:rsid w:val="00766811"/>
    <w:rsid w:val="007960B2"/>
    <w:rsid w:val="007A675B"/>
    <w:rsid w:val="007B509D"/>
    <w:rsid w:val="007C0F67"/>
    <w:rsid w:val="007E0164"/>
    <w:rsid w:val="00881615"/>
    <w:rsid w:val="00A64B97"/>
    <w:rsid w:val="00A72987"/>
    <w:rsid w:val="00AD2DE0"/>
    <w:rsid w:val="00B42922"/>
    <w:rsid w:val="00BA5B63"/>
    <w:rsid w:val="00C41A35"/>
    <w:rsid w:val="00D83131"/>
    <w:rsid w:val="00E0510A"/>
    <w:rsid w:val="00E14097"/>
    <w:rsid w:val="00E30DCB"/>
    <w:rsid w:val="00E7313A"/>
    <w:rsid w:val="00EF0B54"/>
    <w:rsid w:val="00F0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DD64"/>
  <w15:chartTrackingRefBased/>
  <w15:docId w15:val="{7A0D926B-C525-4CFC-913A-FED0C861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922"/>
    <w:rPr>
      <w:rFonts w:eastAsiaTheme="majorEastAsia" w:cstheme="majorBidi"/>
      <w:color w:val="272727" w:themeColor="text1" w:themeTint="D8"/>
    </w:rPr>
  </w:style>
  <w:style w:type="paragraph" w:styleId="Title">
    <w:name w:val="Title"/>
    <w:basedOn w:val="Normal"/>
    <w:next w:val="Normal"/>
    <w:link w:val="TitleChar"/>
    <w:uiPriority w:val="10"/>
    <w:qFormat/>
    <w:rsid w:val="00B42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922"/>
    <w:pPr>
      <w:spacing w:before="160"/>
      <w:jc w:val="center"/>
    </w:pPr>
    <w:rPr>
      <w:i/>
      <w:iCs/>
      <w:color w:val="404040" w:themeColor="text1" w:themeTint="BF"/>
    </w:rPr>
  </w:style>
  <w:style w:type="character" w:customStyle="1" w:styleId="QuoteChar">
    <w:name w:val="Quote Char"/>
    <w:basedOn w:val="DefaultParagraphFont"/>
    <w:link w:val="Quote"/>
    <w:uiPriority w:val="29"/>
    <w:rsid w:val="00B42922"/>
    <w:rPr>
      <w:i/>
      <w:iCs/>
      <w:color w:val="404040" w:themeColor="text1" w:themeTint="BF"/>
    </w:rPr>
  </w:style>
  <w:style w:type="paragraph" w:styleId="ListParagraph">
    <w:name w:val="List Paragraph"/>
    <w:basedOn w:val="Normal"/>
    <w:uiPriority w:val="34"/>
    <w:qFormat/>
    <w:rsid w:val="00B42922"/>
    <w:pPr>
      <w:ind w:left="720"/>
      <w:contextualSpacing/>
    </w:pPr>
  </w:style>
  <w:style w:type="character" w:styleId="IntenseEmphasis">
    <w:name w:val="Intense Emphasis"/>
    <w:basedOn w:val="DefaultParagraphFont"/>
    <w:uiPriority w:val="21"/>
    <w:qFormat/>
    <w:rsid w:val="00B42922"/>
    <w:rPr>
      <w:i/>
      <w:iCs/>
      <w:color w:val="0F4761" w:themeColor="accent1" w:themeShade="BF"/>
    </w:rPr>
  </w:style>
  <w:style w:type="paragraph" w:styleId="IntenseQuote">
    <w:name w:val="Intense Quote"/>
    <w:basedOn w:val="Normal"/>
    <w:next w:val="Normal"/>
    <w:link w:val="IntenseQuoteChar"/>
    <w:uiPriority w:val="30"/>
    <w:qFormat/>
    <w:rsid w:val="00B42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922"/>
    <w:rPr>
      <w:i/>
      <w:iCs/>
      <w:color w:val="0F4761" w:themeColor="accent1" w:themeShade="BF"/>
    </w:rPr>
  </w:style>
  <w:style w:type="character" w:styleId="IntenseReference">
    <w:name w:val="Intense Reference"/>
    <w:basedOn w:val="DefaultParagraphFont"/>
    <w:uiPriority w:val="32"/>
    <w:qFormat/>
    <w:rsid w:val="00B42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5D04B-539A-4F86-8239-3D4D5F371B07}">
  <ds:schemaRefs>
    <ds:schemaRef ds:uri="http://schemas.microsoft.com/sharepoint/v3/contenttype/forms"/>
  </ds:schemaRefs>
</ds:datastoreItem>
</file>

<file path=customXml/itemProps2.xml><?xml version="1.0" encoding="utf-8"?>
<ds:datastoreItem xmlns:ds="http://schemas.openxmlformats.org/officeDocument/2006/customXml" ds:itemID="{12456550-06D3-4E66-97FE-647768C7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21</cp:revision>
  <dcterms:created xsi:type="dcterms:W3CDTF">2024-05-27T22:11:00Z</dcterms:created>
  <dcterms:modified xsi:type="dcterms:W3CDTF">2024-05-28T17:52:00Z</dcterms:modified>
</cp:coreProperties>
</file>