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Frequently Asked Questions</w:t>
      </w:r>
    </w:p>
    <w:p>
      <w:pPr>
        <w:pStyle w:val="Heading1"/>
      </w:pPr>
      <w:r>
        <w:t>Budget</w:t>
      </w:r>
    </w:p>
    <w:p>
      <w:pPr>
        <w:pStyle w:val="Heading2"/>
        <w:ind w:left="317" w:hanging="317"/>
      </w:pPr>
      <w:r>
        <w:rPr>
          <w:color w:val="1F2E24"/>
        </w:rPr>
        <w:t>8. What is the estimated construction budget for Phase 2 and what is our Flourish Campaign goal?</w:t>
      </w:r>
    </w:p>
    <w:p>
      <w:pPr>
        <w:keepLines/>
        <w:ind w:left="317"/>
      </w:pPr>
      <w:r>
        <w:t>Our current construction estimate is approximately $36.6MM of which we have $27.5MM committed. Our Flourish Campaign goal is $8.9MM.</w:t>
      </w:r>
    </w:p>
    <w:p>
      <w:pPr>
        <w:pStyle w:val="Heading2"/>
        <w:ind w:left="317" w:hanging="317"/>
      </w:pPr>
      <w:r>
        <w:rPr>
          <w:color w:val="1F2E24"/>
        </w:rPr>
        <w:t>9. What is the start and end date of the Flourish Campaign giving period?</w:t>
      </w:r>
    </w:p>
    <w:p>
      <w:pPr>
        <w:keepLines/>
        <w:ind w:left="317"/>
      </w:pPr>
      <w:r>
        <w:t>The campaign will span 3 years beginning November 15th.</w:t>
      </w:r>
    </w:p>
    <w:p>
      <w:pPr>
        <w:pStyle w:val="Heading2"/>
        <w:ind w:left="317" w:hanging="317"/>
      </w:pPr>
      <w:r>
        <w:rPr>
          <w:color w:val="1F2E24"/>
        </w:rPr>
        <w:t>10. How do we already have $27.5MM?</w:t>
      </w:r>
    </w:p>
    <w:p>
      <w:pPr>
        <w:keepLines/>
        <w:ind w:left="317"/>
      </w:pPr>
      <w:r>
        <w:t>We received generous anonymous grants from the Tulsa Community Foundation and several out-of-state friends of Trinity to bless our congregation and help us achieve our Phase 2 goal.</w:t>
      </w:r>
    </w:p>
    <w:p>
      <w:pPr>
        <w:pStyle w:val="Heading2"/>
        <w:ind w:left="317" w:hanging="317"/>
      </w:pPr>
      <w:r>
        <w:rPr>
          <w:color w:val="1F2E24"/>
        </w:rPr>
        <w:t>11. Why should I contribute if so much of the campaign has already been covered by early commitments?</w:t>
      </w:r>
    </w:p>
    <w:p>
      <w:pPr>
        <w:keepLines/>
        <w:ind w:left="317"/>
      </w:pPr>
      <w:r>
        <w:t>Participation is part of formation. The fact that we have been so blessed is actually more reason to participate with your whole heart in what God is doing at Trinity. This campaign is fundamentally about your discipleship in the area of generosity, not just about achieving a fundraising goal. Flourish is about being part of our big vision that seeks to bless others to rest in worship, grow in community and rediscover our calling. We want and need you; each of us plays a key role.</w:t>
      </w:r>
    </w:p>
    <w:p>
      <w:pPr>
        <w:pStyle w:val="Heading2"/>
        <w:ind w:left="317" w:hanging="317"/>
      </w:pPr>
      <w:r>
        <w:rPr>
          <w:color w:val="1F2E24"/>
        </w:rPr>
        <w:t>12. Should we reach out to our families that don’t attend Trinity to see if they want to give? How should we go about speaking to our families?</w:t>
      </w:r>
    </w:p>
    <w:p>
      <w:pPr>
        <w:keepLines/>
        <w:ind w:left="317"/>
      </w:pPr>
      <w:r>
        <w:t>Of course! Please spread the word. Friends and family outside of Trinity have already contributed. You can absolutely invite others to share in what we are doing. Refer them to the Flourish website. We are glad to help you with print materials to send to them.</w:t>
      </w:r>
    </w:p>
    <w:p>
      <w:pPr>
        <w:pStyle w:val="Heading2"/>
        <w:ind w:left="317" w:hanging="317"/>
      </w:pPr>
      <w:r>
        <w:rPr>
          <w:color w:val="1F2E24"/>
        </w:rPr>
        <w:t>13. Is there any buffer if Phase 2 runs over budget?</w:t>
      </w:r>
    </w:p>
    <w:p>
      <w:pPr>
        <w:keepLines/>
        <w:ind w:left="317"/>
      </w:pPr>
      <w:r>
        <w:t>We have financing options from Encore Bank should we need to consider that.</w:t>
      </w:r>
    </w:p>
    <w:p>
      <w:pPr>
        <w:pStyle w:val="Heading2"/>
        <w:ind w:left="317" w:hanging="317"/>
      </w:pPr>
      <w:r>
        <w:rPr>
          <w:color w:val="1F2E24"/>
        </w:rPr>
        <w:t>14. How much is expected to be spent on furnishing phase 2? Is that included in the campaign?</w:t>
      </w:r>
    </w:p>
    <w:p>
      <w:pPr>
        <w:keepLines/>
        <w:ind w:left="317"/>
      </w:pPr>
      <w:r>
        <w:t>The architect has estimated $500k for furniture, fixtures and equipment. It is excluded from the campaign because we have FFE funds remaining from Phase 1.</w:t>
      </w:r>
    </w:p>
    <w:p>
      <w:pPr>
        <w:pStyle w:val="Heading2"/>
        <w:ind w:left="317" w:hanging="317"/>
      </w:pPr>
      <w:r>
        <w:rPr>
          <w:color w:val="1F2E24"/>
        </w:rPr>
        <w:t>15. I barely make enough now with my tithe. Is this okay?</w:t>
      </w:r>
    </w:p>
    <w:p>
      <w:pPr>
        <w:keepLines/>
        <w:ind w:left="317"/>
      </w:pPr>
      <w:r>
        <w:t>Yes! The amount is less important than the heart posture behind it. A large amount to one may not be a sacrifice while a small amount to another is. The question to ask is, “Is my giving marked by sacrifice, gratitude, and consistency?”</w:t>
      </w:r>
    </w:p>
    <w:p>
      <w:r>
        <w:br w:type="page"/>
      </w:r>
    </w:p>
    <w:p>
      <w:pPr>
        <w:pStyle w:val="Title"/>
      </w:pPr>
      <w:r>
        <w:t>Frequently Asked Questions</w:t>
      </w:r>
    </w:p>
    <w:p>
      <w:pPr>
        <w:pStyle w:val="Heading1"/>
      </w:pPr>
      <w:r>
        <w:t>Spaces</w:t>
      </w:r>
    </w:p>
    <w:p>
      <w:pPr>
        <w:pStyle w:val="Heading2"/>
        <w:ind w:left="317" w:hanging="317"/>
      </w:pPr>
      <w:r>
        <w:rPr>
          <w:color w:val="1F2E24"/>
        </w:rPr>
        <w:t>16. How many bathrooms?</w:t>
      </w:r>
    </w:p>
    <w:p>
      <w:pPr>
        <w:keepLines/>
        <w:ind w:left="317"/>
      </w:pPr>
      <w:r>
        <w:t>There will be at least four additional restrooms for women and men throughout Phase 2. Additionally, there will be a restroom in classrooms for TrinityKids.</w:t>
      </w:r>
    </w:p>
    <w:p>
      <w:pPr>
        <w:pStyle w:val="Heading2"/>
        <w:ind w:left="317" w:hanging="317"/>
      </w:pPr>
      <w:r>
        <w:rPr>
          <w:color w:val="1F2E24"/>
        </w:rPr>
        <w:t>17. What will Phase 1 become? What is the plan for The Grove?</w:t>
      </w:r>
    </w:p>
    <w:p>
      <w:pPr>
        <w:keepLines/>
        <w:ind w:left="317"/>
      </w:pPr>
      <w:r>
        <w:t>Phase 1 will continue to be where we meet for worship on Sunday morning. The four current TrinityKids’ classrooms will become adult education and small-group Bible study classrooms. The Grove will no longer be needed. The staff offices will be on the first floor of phase 2. The youth wing will be on the east side of the second floor.</w:t>
      </w:r>
    </w:p>
    <w:p>
      <w:pPr>
        <w:pStyle w:val="Heading2"/>
        <w:ind w:left="317" w:hanging="317"/>
      </w:pPr>
      <w:r>
        <w:rPr>
          <w:color w:val="1F2E24"/>
        </w:rPr>
        <w:t>18. Will there be space for special needs children?</w:t>
      </w:r>
    </w:p>
    <w:p>
      <w:pPr>
        <w:keepLines/>
        <w:ind w:left="317"/>
      </w:pPr>
      <w:r>
        <w:t>The ability to serve all children has been considered in the design, form, and function of the space. The limiting factor for a special needs ministry will be having trained personnel to support it. Let’s be praying for this! If there is someone who would like to attend Trinity and may not be able to, please speak with the elders or deacons. Located so close to A New Leaf, we do look forward to serving adults with disabilities, too.</w:t>
      </w:r>
    </w:p>
    <w:p>
      <w:pPr>
        <w:pStyle w:val="Heading1"/>
        <w:spacing w:before="260"/>
      </w:pPr>
      <w:r>
        <w:t>Timeline</w:t>
      </w:r>
    </w:p>
    <w:p>
      <w:pPr>
        <w:pStyle w:val="Heading2"/>
        <w:ind w:left="317" w:hanging="317"/>
      </w:pPr>
      <w:r>
        <w:rPr>
          <w:color w:val="1F2E24"/>
        </w:rPr>
        <w:t>19. How long will it take to build?</w:t>
      </w:r>
    </w:p>
    <w:p>
      <w:pPr>
        <w:keepLines/>
        <w:ind w:left="317"/>
      </w:pPr>
      <w:r>
        <w:t>16-18 months is the estimated time GH2 Architects is stating it will take. We are spending additional time refining the design before we begin building to minimize changes and delays.</w:t>
      </w:r>
    </w:p>
    <w:p>
      <w:pPr>
        <w:pStyle w:val="Heading2"/>
        <w:ind w:left="317" w:hanging="317"/>
      </w:pPr>
      <w:r>
        <w:rPr>
          <w:color w:val="1F2E24"/>
        </w:rPr>
        <w:t>20. How does the permitting process for Phase 2 Work? Could there be hiccups/issues with that?</w:t>
      </w:r>
    </w:p>
    <w:p>
      <w:pPr>
        <w:keepLines/>
        <w:ind w:left="317"/>
      </w:pPr>
      <w:r>
        <w:t>We have hired Reed Woods of Stonebridge Group as our owners representative to assist with the permitting process alongside GH2, our architects. While we anticipate challenges, we are working behind the scenes now to minimize any unexpected issues with the property.</w:t>
      </w:r>
    </w:p>
    <w:sectPr w:rsidR="00FC693F" w:rsidRPr="0006063C" w:rsidSect="00034616">
      <w:headerReference w:type="default" r:id="rId9"/>
      <w:footerReference w:type="default" r:id="rId10"/>
      <w:pgSz w:w="12240" w:h="15840"/>
      <w:pgMar w:top="2016" w:right="936" w:bottom="792" w:left="936" w:header="432"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inion Variable Concept Display">
    <w:embedRegular r:id="rIdFont0" w:fontKey="{701689AB-B00F-4600-B9DD-A1F12B232668}" w:subsetted="true"/>
  </w:font>
  <w:font w:name="Minion Variable Concept Semibold">
    <w:embedRegular r:id="rIdFont1" w:fontKey="{342811CC-8FDD-4D33-84D0-B743253F308F}" w:subsetted="true"/>
  </w:font>
  <w:font w:name="Minion Variable Concept">
    <w:embedRegular r:id="rIdFont2" w:fontKey="{86F4B935-DD89-49D9-B4F9-671E67A00D6C}" w:subsetted="tru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96" w:val="right"/>
      </w:tabs>
      <w:spacing w:after="0"/>
    </w:pPr>
    <w:r>
      <w:rPr>
        <w:color w:val="1F2E24"/>
        <w:sz w:val="18"/>
      </w:rPr>
      <w:t>FLOURISH  2026-2029</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before="0"/>
    </w:pPr>
    <w:r>
      <w:rPr>
        <w:sz w:val="2"/>
      </w:rPr>
    </w:r>
  </w:p>
  <w:tbl>
    <w:tblPr>
      <w:tblW w:type="auto" w:w="0"/>
      <w:tblLayout w:type="fixed"/>
      <w:tblLook w:firstColumn="1" w:firstRow="1" w:lastColumn="0" w:lastRow="0" w:noHBand="0" w:noVBand="1" w:val="04A0"/>
    </w:tblPr>
    <w:tblGrid>
      <w:gridCol w:w="2592"/>
      <w:gridCol w:w="7776"/>
    </w:tblGrid>
    <w:tr>
      <w:tc>
        <w:tcPr>
          <w:tcW w:type="dxa" w:w="5184"/>
          <w:shd w:fill="1F2E24"/>
          <w:tcMar>
            <w:top w:w="70" w:type="dxa"/>
            <w:bottom w:w="70" w:type="dxa"/>
            <w:left w:w="120" w:type="dxa"/>
            <w:right w:w="120" w:type="dxa"/>
          </w:tcMar>
        </w:tcPr>
        <w:p>
          <w:pPr>
            <w:spacing w:after="0" w:line="240" w:lineRule="auto"/>
          </w:pPr>
          <w:r>
            <w:drawing>
              <wp:inline xmlns:a="http://schemas.openxmlformats.org/drawingml/2006/main" xmlns:pic="http://schemas.openxmlformats.org/drawingml/2006/picture">
                <wp:extent cx="1143000" cy="631658"/>
                <wp:docPr id="1" name="Picture 1"/>
                <wp:cNvGraphicFramePr>
                  <a:graphicFrameLocks noChangeAspect="1"/>
                </wp:cNvGraphicFramePr>
                <a:graphic>
                  <a:graphicData uri="http://schemas.openxmlformats.org/drawingml/2006/picture">
                    <pic:pic>
                      <pic:nvPicPr>
                        <pic:cNvPr id="0" name="flourish.png"/>
                        <pic:cNvPicPr/>
                      </pic:nvPicPr>
                      <pic:blipFill>
                        <a:blip r:embed="rId1"/>
                        <a:stretch>
                          <a:fillRect/>
                        </a:stretch>
                      </pic:blipFill>
                      <pic:spPr>
                        <a:xfrm>
                          <a:off x="0" y="0"/>
                          <a:ext cx="1143000" cy="631658"/>
                        </a:xfrm>
                        <a:prstGeom prst="rect"/>
                      </pic:spPr>
                    </pic:pic>
                  </a:graphicData>
                </a:graphic>
              </wp:inline>
            </w:drawing>
          </w:r>
        </w:p>
      </w:tc>
      <w:tc>
        <w:tcPr>
          <w:tcW w:type="dxa" w:w="5184"/>
          <w:shd w:fill="1F2E24"/>
          <w:tcMar>
            <w:top w:w="70" w:type="dxa"/>
            <w:bottom w:w="70" w:type="dxa"/>
            <w:left w:w="120" w:type="dxa"/>
            <w:right w:w="120" w:type="dxa"/>
          </w:tcMar>
        </w:tcPr>
        <w:p>
          <w:pPr>
            <w:spacing w:before="180" w:after="60"/>
            <w:jc w:val="right"/>
          </w:pPr>
        </w:p>
        <w:p>
          <w:pPr>
            <w:spacing w:after="0"/>
            <w:jc w:val="right"/>
          </w:pP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0" w:lineRule="exact" w:after="140"/>
    </w:pPr>
    <w:rPr>
      <w:rFonts w:ascii="Minion Variable Concept" w:hAnsi="Minion Variable Concept" w:eastAsia="Minion Variable Concept" w:cs="Minion Variable Concept"/>
      <w:color w:val="20282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outlineLvl w:val="0"/>
    </w:pPr>
    <w:rPr>
      <w:rFonts w:ascii="Minion Variable Concept Semibold" w:hAnsi="Minion Variable Concept Semibold" w:eastAsia="Minion Variable Concept Semibold" w:cs="Minion Variable Concept Semibold"/>
      <w:b w:val="0"/>
      <w:bCs/>
      <w:color w:val="1F2E24"/>
      <w:sz w:val="46"/>
      <w:szCs w:val="28"/>
    </w:rPr>
  </w:style>
  <w:style w:type="paragraph" w:styleId="Heading2">
    <w:name w:val="heading 2"/>
    <w:basedOn w:val="Normal"/>
    <w:next w:val="Normal"/>
    <w:link w:val="Heading2Char"/>
    <w:uiPriority w:val="9"/>
    <w:unhideWhenUsed/>
    <w:qFormat/>
    <w:rsid w:val="00FC693F"/>
    <w:pPr>
      <w:keepNext/>
      <w:keepLines/>
      <w:spacing w:before="0" w:after="100"/>
      <w:outlineLvl w:val="1"/>
    </w:pPr>
    <w:rPr>
      <w:rFonts w:ascii="Minion Variable Concept Display" w:hAnsi="Minion Variable Concept Display" w:eastAsia="Minion Variable Concept Display" w:cs="Minion Variable Concept Display"/>
      <w:b w:val="0"/>
      <w:bCs/>
      <w:color w:val="1F2E24"/>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ascii="Minion Variable Concept Display" w:hAnsi="Minion Variable Concept Display" w:eastAsia="Minion Variable Concept Display" w:cs="Minion Variable Concept Display"/>
      <w:b w:val="0"/>
      <w:color w:val="1F2E2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Font0" Type="http://schemas.openxmlformats.org/officeDocument/2006/relationships/font" Target="fonts/font0.odttf"/><Relationship Id="rIdFont1" Type="http://schemas.openxmlformats.org/officeDocument/2006/relationships/font" Target="fonts/font1.odttf"/><Relationship Id="rIdFont2" Type="http://schemas.openxmlformats.org/officeDocument/2006/relationships/font" Target="fonts/font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Flourish Frequently Asked Questions</dc:title>
  <dc:subject>Budget Spaces and Timeline</dc:subject>
  <dc:creator>Trinity Presbyterian Church</dc:creator>
  <cp:keywords/>
  <dc:description>generated by python-docx</dc:description>
  <cp:lastModifiedBy/>
  <cp:revision>1</cp:revision>
  <dcterms:created xsi:type="dcterms:W3CDTF">2013-12-23T23:15:00Z</dcterms:created>
  <dcterms:modified xsi:type="dcterms:W3CDTF">2013-12-23T23:15:00Z</dcterms:modified>
  <cp:category/>
</cp:coreProperties>
</file>