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12 Sermon - Pastor Andrew Hensen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Sermon: Defending the Faith While Growing in Grace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md8t0f6bdu9k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Jude 1–25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dqa13981x6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Have you ever drifted physically (like in water or while driving) without realizing it? What happened?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8dhsqrvtifbs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From Jude 1–2, which part of your identity, called, loved, or kept, do you most need to hold onto right now, and why?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Jude says to “defend the faith” (v. 3). Why is that necessary, and what can happen if we don’t?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Andrew described two dangerous “currents”: grace without truth and truth without grace. Which one do you see more in today’s culture—or in your own life?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does Jude call us to “look back” to Scripture (vv. 3, 5–19) instead of trusting our own thoughts or culture?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Jude 20–21 focuses inward: building faith, praying, and waiting on Christ. Which one needs the most attention in your life right now?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Jude 22–23 shows different ways to help people (mercy, rescue, caution). How can you wisely respond to someone who is struggling spiritually?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astor Andrew said, “We do not contend as panicked people, but as kept people.” What would it look like for you to live with that kind of confidence this week?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