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29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 Series: The Prayer That Changes Everything – Part 3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s5rc44jil24n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The Prayer That Sends You Out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John 17:18-26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ul8lilcsm8c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Icebreaker: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If you were sent on a mission anywhere in the world for a year, where would you go and why?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vr52x88sx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Discussion Questions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Pastor Keith said we are not just saved from sin, but sent into the world. How does John 17:18 reshape the way you think about your role as a Christian?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In John 17:19–20, Jesus connects being “set apart” with being sent. Why do you think that holiness and mission go together?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Pastor Keith highlighted that unity is part of our witness according to verses 20–21. How does unity actually impact whether people believe in Jesus?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Where do you personally see unity being challenged most, either in the church or in your own relationships, and what would it look like to respond differently this week?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Pastor Keith mentioned that Jesus has given us His glory (v.22). What do you think that means, and how should that change the way we represent Him to others?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In verses 24–26, Jesus prays that we would know His love. Pastor Keith emphasized that mission flows from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relationship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How does knowing you are deeply loved by God affect the way you live on mission?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We were challenged to live as people who are sent. What is one specific way you can live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 mission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this week in your everyday life?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