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76" w:lineRule="auto"/>
        <w:ind w:left="0" w:hanging="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-4760</wp:posOffset>
                </wp:positionH>
                <wp:positionV relativeFrom="paragraph">
                  <wp:posOffset>-4761</wp:posOffset>
                </wp:positionV>
                <wp:extent cx="663575" cy="663575"/>
                <wp:effectExtent b="0" l="0" r="0" t="0"/>
                <wp:wrapNone/>
                <wp:docPr id="1030" name=""/>
                <a:graphic>
                  <a:graphicData uri="http://schemas.microsoft.com/office/word/2010/wordprocessingShape">
                    <wps:wsp>
                      <wps:cNvSpPr/>
                      <wps:cNvPr id="2" name="Shape 2"/>
                      <wps:spPr>
                        <a:xfrm>
                          <a:off x="5028500" y="3462500"/>
                          <a:ext cx="635000" cy="635000"/>
                        </a:xfrm>
                        <a:prstGeom prst="rect">
                          <a:avLst/>
                        </a:prstGeom>
                        <a:noFill/>
                        <a:ln>
                          <a:noFill/>
                        </a:ln>
                      </wps:spPr>
                      <wps:txbx>
                        <w:txbxContent>
                          <w:p w:rsidR="00000000" w:rsidDel="00000000" w:rsidP="00000000" w:rsidRDefault="00000000" w:rsidRPr="00000000">
                            <w:pPr>
                              <w:spacing w:after="0" w:before="0" w:line="240"/>
                              <w:ind w:left="0" w:right="0" w:firstLine="-2.0000000298023224"/>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-4760</wp:posOffset>
                </wp:positionH>
                <wp:positionV relativeFrom="paragraph">
                  <wp:posOffset>-4761</wp:posOffset>
                </wp:positionV>
                <wp:extent cx="663575" cy="663575"/>
                <wp:effectExtent b="0" l="0" r="0" t="0"/>
                <wp:wrapNone/>
                <wp:docPr id="1030"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663575" cy="663575"/>
                        </a:xfrm>
                        <a:prstGeom prst="rect"/>
                        <a:ln/>
                      </pic:spPr>
                    </pic:pic>
                  </a:graphicData>
                </a:graphic>
              </wp:anchor>
            </w:drawing>
          </mc:Fallback>
        </mc:AlternateContent>
      </w:r>
    </w:p>
    <w:p w:rsidR="00000000" w:rsidDel="00000000" w:rsidP="00000000" w:rsidRDefault="00000000" w:rsidRPr="00000000" w14:paraId="00000002">
      <w:pPr>
        <w:ind w:left="0" w:hanging="2"/>
        <w:jc w:val="center"/>
        <w:rPr>
          <w:rFonts w:ascii="Bookman Old Style" w:cs="Bookman Old Style" w:eastAsia="Bookman Old Style" w:hAnsi="Bookman Old Style"/>
          <w:color w:val="ff0000"/>
        </w:rPr>
      </w:pPr>
      <w:r w:rsidDel="00000000" w:rsidR="00000000" w:rsidRPr="00000000">
        <w:rPr>
          <w:rFonts w:ascii="Bookman Old Style" w:cs="Bookman Old Style" w:eastAsia="Bookman Old Style" w:hAnsi="Bookman Old Style"/>
          <w:color w:val="ff0000"/>
        </w:rPr>
        <w:drawing>
          <wp:inline distB="0" distT="0" distL="114300" distR="114300">
            <wp:extent cx="4786630" cy="2108835"/>
            <wp:effectExtent b="0" l="0" r="0" t="0"/>
            <wp:docPr id="103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4786630" cy="210883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tabs>
          <w:tab w:val="center" w:leader="none" w:pos="4513"/>
          <w:tab w:val="right" w:leader="none" w:pos="9026"/>
        </w:tabs>
        <w:ind w:left="0" w:hanging="2"/>
        <w:jc w:val="center"/>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04">
      <w:pPr>
        <w:ind w:left="0" w:hanging="2"/>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05">
      <w:pPr>
        <w:ind w:left="0" w:hanging="2"/>
        <w:jc w:val="center"/>
        <w:rPr>
          <w:rFonts w:ascii="Bookman Old Style" w:cs="Bookman Old Style" w:eastAsia="Bookman Old Style" w:hAnsi="Bookman Old Style"/>
          <w:color w:val="ff0000"/>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tabs>
          <w:tab w:val="center" w:leader="none" w:pos="4513"/>
          <w:tab w:val="right" w:leader="none" w:pos="9026"/>
        </w:tabs>
        <w:spacing w:line="240" w:lineRule="auto"/>
        <w:ind w:left="0" w:hanging="2"/>
        <w:jc w:val="center"/>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07">
      <w:pPr>
        <w:ind w:left="0" w:hanging="2"/>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08">
      <w:pPr>
        <w:ind w:left="0" w:hanging="2"/>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09">
      <w:pPr>
        <w:ind w:left="0" w:hanging="2"/>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0A">
      <w:pPr>
        <w:ind w:left="0" w:hanging="2"/>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0B">
      <w:pPr>
        <w:ind w:left="0" w:hanging="2"/>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0C">
      <w:pPr>
        <w:pStyle w:val="Heading6"/>
        <w:tabs>
          <w:tab w:val="left" w:leader="none" w:pos="3195"/>
          <w:tab w:val="left" w:leader="none" w:pos="3195"/>
        </w:tabs>
        <w:ind w:left="5" w:hanging="7"/>
        <w:jc w:val="center"/>
        <w:rPr>
          <w:rFonts w:ascii="Bookman Old Style" w:cs="Bookman Old Style" w:eastAsia="Bookman Old Style" w:hAnsi="Bookman Old Style"/>
          <w:sz w:val="72"/>
          <w:szCs w:val="72"/>
        </w:rPr>
      </w:pPr>
      <w:r w:rsidDel="00000000" w:rsidR="00000000" w:rsidRPr="00000000">
        <w:rPr>
          <w:rFonts w:ascii="Bookman Old Style" w:cs="Bookman Old Style" w:eastAsia="Bookman Old Style" w:hAnsi="Bookman Old Style"/>
          <w:b w:val="1"/>
          <w:bCs w:val="1"/>
          <w:sz w:val="72"/>
          <w:szCs w:val="72"/>
          <w:rtl w:val="0"/>
        </w:rPr>
        <w:t xml:space="preserve">Accessibility Policy </w:t>
      </w:r>
      <w:r w:rsidDel="00000000" w:rsidR="00000000" w:rsidRPr="00000000">
        <w:rPr>
          <w:rtl w:val="0"/>
        </w:rPr>
      </w:r>
    </w:p>
    <w:p w:rsidR="00000000" w:rsidDel="00000000" w:rsidP="00000000" w:rsidRDefault="00000000" w:rsidRPr="00000000" w14:paraId="0000000D">
      <w:pPr>
        <w:ind w:left="0" w:hanging="2"/>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0E">
      <w:pPr>
        <w:ind w:left="0" w:hanging="2"/>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0F">
      <w:pPr>
        <w:ind w:left="0" w:hanging="2"/>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0">
      <w:pPr>
        <w:ind w:left="0" w:hanging="2"/>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1">
      <w:pPr>
        <w:ind w:left="0" w:hanging="2"/>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2">
      <w:pPr>
        <w:ind w:left="0" w:hanging="2"/>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3">
      <w:pPr>
        <w:ind w:left="0" w:hanging="2"/>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4">
      <w:pPr>
        <w:ind w:left="0" w:hanging="2"/>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5">
      <w:pPr>
        <w:ind w:left="0" w:hanging="2"/>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6">
      <w:pPr>
        <w:ind w:left="0" w:hanging="2"/>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7">
      <w:pPr>
        <w:ind w:left="0" w:hanging="2"/>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8">
      <w:pPr>
        <w:ind w:left="0" w:hanging="2"/>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9">
      <w:pPr>
        <w:ind w:left="0" w:hanging="2"/>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A">
      <w:pPr>
        <w:ind w:left="0" w:hanging="2"/>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B">
      <w:pPr>
        <w:ind w:left="0" w:hanging="2"/>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C">
      <w:pPr>
        <w:ind w:left="0" w:hanging="2"/>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D">
      <w:pPr>
        <w:ind w:left="0" w:hanging="2"/>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E">
      <w:pPr>
        <w:tabs>
          <w:tab w:val="right" w:leader="none" w:pos="3896"/>
        </w:tabs>
        <w:ind w:left="0" w:right="-44" w:hanging="2"/>
        <w:rPr>
          <w:rFonts w:ascii="Bookman Old Style" w:cs="Bookman Old Style" w:eastAsia="Bookman Old Style" w:hAnsi="Bookman Old Style"/>
        </w:rPr>
      </w:pPr>
      <w:r w:rsidDel="00000000" w:rsidR="00000000" w:rsidRPr="00000000">
        <w:rPr>
          <w:rtl w:val="0"/>
        </w:rPr>
      </w:r>
    </w:p>
    <w:tbl>
      <w:tblPr>
        <w:tblStyle w:val="Table1"/>
        <w:tblW w:w="9441.0" w:type="dxa"/>
        <w:jc w:val="left"/>
        <w:tblInd w:w="-108.0" w:type="dxa"/>
        <w:tblBorders>
          <w:top w:color="000000" w:space="0" w:sz="0" w:val="nil"/>
          <w:left w:color="000000" w:space="0" w:sz="0" w:val="nil"/>
          <w:bottom w:color="000000" w:space="0" w:sz="0" w:val="nil"/>
          <w:right w:color="000000" w:space="0" w:sz="0" w:val="nil"/>
          <w:insideH w:color="ffffff" w:space="0" w:sz="18" w:val="single"/>
          <w:insideV w:color="000000" w:space="0" w:sz="0" w:val="nil"/>
        </w:tblBorders>
        <w:tblLayout w:type="fixed"/>
        <w:tblLook w:val="0000"/>
      </w:tblPr>
      <w:tblGrid>
        <w:gridCol w:w="2127"/>
        <w:gridCol w:w="3727"/>
        <w:gridCol w:w="3587"/>
        <w:tblGridChange w:id="0">
          <w:tblGrid>
            <w:gridCol w:w="2127"/>
            <w:gridCol w:w="3727"/>
            <w:gridCol w:w="3587"/>
          </w:tblGrid>
        </w:tblGridChange>
      </w:tblGrid>
      <w:tr>
        <w:trPr>
          <w:cantSplit w:val="0"/>
          <w:tblHeader w:val="0"/>
        </w:trPr>
        <w:tc>
          <w:tcPr>
            <w:shd w:fill="d9d9d9" w:val="clear"/>
          </w:tcPr>
          <w:p w:rsidR="00000000" w:rsidDel="00000000" w:rsidP="00000000" w:rsidRDefault="00000000" w:rsidRPr="00000000" w14:paraId="0000001F">
            <w:pPr>
              <w:ind w:left="0" w:hanging="2"/>
              <w:jc w:val="center"/>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b w:val="1"/>
                <w:bCs w:val="1"/>
                <w:sz w:val="22"/>
                <w:szCs w:val="22"/>
                <w:rtl w:val="0"/>
              </w:rPr>
              <w:t xml:space="preserve">Approved by:</w:t>
            </w:r>
            <w:r w:rsidDel="00000000" w:rsidR="00000000" w:rsidRPr="00000000">
              <w:rPr>
                <w:rtl w:val="0"/>
              </w:rPr>
            </w:r>
          </w:p>
        </w:tc>
        <w:tc>
          <w:tcPr>
            <w:shd w:fill="d9d9d9" w:val="clear"/>
          </w:tcPr>
          <w:p w:rsidR="00000000" w:rsidDel="00000000" w:rsidP="00000000" w:rsidRDefault="00000000" w:rsidRPr="00000000" w14:paraId="00000020">
            <w:pPr>
              <w:ind w:left="0" w:hanging="2"/>
              <w:rPr>
                <w:rFonts w:ascii="Bookman Old Style" w:cs="Bookman Old Style" w:eastAsia="Bookman Old Style" w:hAnsi="Bookman Old Style"/>
                <w:color w:val="0000ff"/>
                <w:sz w:val="22"/>
                <w:szCs w:val="22"/>
              </w:rPr>
            </w:pPr>
            <w:r w:rsidDel="00000000" w:rsidR="00000000" w:rsidRPr="00000000">
              <w:rPr>
                <w:rFonts w:ascii="Bookman Old Style" w:cs="Bookman Old Style" w:eastAsia="Bookman Old Style" w:hAnsi="Bookman Old Style"/>
                <w:b w:val="1"/>
                <w:bCs w:val="1"/>
                <w:color w:val="0000ff"/>
                <w:sz w:val="22"/>
                <w:szCs w:val="22"/>
                <w:rtl w:val="0"/>
              </w:rPr>
              <w:t xml:space="preserve">David Ollier</w:t>
            </w:r>
            <w:r w:rsidDel="00000000" w:rsidR="00000000" w:rsidRPr="00000000">
              <w:rPr>
                <w:rtl w:val="0"/>
              </w:rPr>
            </w:r>
          </w:p>
        </w:tc>
        <w:tc>
          <w:tcPr>
            <w:shd w:fill="d9d9d9" w:val="clear"/>
          </w:tcPr>
          <w:p w:rsidR="00000000" w:rsidDel="00000000" w:rsidP="00000000" w:rsidRDefault="00000000" w:rsidRPr="00000000" w14:paraId="00000021">
            <w:pPr>
              <w:ind w:left="0" w:hanging="2"/>
              <w:jc w:val="center"/>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b w:val="1"/>
                <w:bCs w:val="1"/>
                <w:sz w:val="22"/>
                <w:szCs w:val="22"/>
                <w:rtl w:val="0"/>
              </w:rPr>
              <w:t xml:space="preserve">Date:</w:t>
            </w:r>
            <w:r w:rsidDel="00000000" w:rsidR="00000000" w:rsidRPr="00000000">
              <w:rPr>
                <w:rFonts w:ascii="Bookman Old Style" w:cs="Bookman Old Style" w:eastAsia="Bookman Old Style" w:hAnsi="Bookman Old Style"/>
                <w:sz w:val="22"/>
                <w:szCs w:val="22"/>
                <w:rtl w:val="0"/>
              </w:rPr>
              <w:t xml:space="preserve">         </w:t>
            </w:r>
            <w:r w:rsidDel="00000000" w:rsidR="00000000" w:rsidRPr="00000000">
              <w:rPr>
                <w:rFonts w:ascii="Bookman Old Style" w:cs="Bookman Old Style" w:eastAsia="Bookman Old Style" w:hAnsi="Bookman Old Style"/>
                <w:b w:val="1"/>
                <w:bCs w:val="1"/>
                <w:color w:val="0000ff"/>
                <w:sz w:val="22"/>
                <w:szCs w:val="22"/>
                <w:rtl w:val="0"/>
              </w:rPr>
              <w:t xml:space="preserve">September 2025</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22">
            <w:pPr>
              <w:ind w:left="0" w:hanging="2"/>
              <w:jc w:val="center"/>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b w:val="1"/>
                <w:bCs w:val="1"/>
                <w:sz w:val="22"/>
                <w:szCs w:val="22"/>
                <w:rtl w:val="0"/>
              </w:rPr>
              <w:t xml:space="preserve">Last reviewed on:</w:t>
            </w:r>
            <w:r w:rsidDel="00000000" w:rsidR="00000000" w:rsidRPr="00000000">
              <w:rPr>
                <w:rtl w:val="0"/>
              </w:rPr>
            </w:r>
          </w:p>
        </w:tc>
        <w:tc>
          <w:tcPr>
            <w:gridSpan w:val="2"/>
            <w:shd w:fill="d9d9d9" w:val="clear"/>
          </w:tcPr>
          <w:p w:rsidR="00000000" w:rsidDel="00000000" w:rsidP="00000000" w:rsidRDefault="00000000" w:rsidRPr="00000000" w14:paraId="00000023">
            <w:pPr>
              <w:ind w:left="0"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b w:val="1"/>
                <w:bCs w:val="1"/>
                <w:color w:val="0000ff"/>
                <w:sz w:val="22"/>
                <w:szCs w:val="22"/>
                <w:rtl w:val="0"/>
              </w:rPr>
              <w:t xml:space="preserve">May 2026 (by Chloe Smith, in new role) </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25">
            <w:pPr>
              <w:ind w:left="0" w:hanging="2"/>
              <w:jc w:val="center"/>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b w:val="1"/>
                <w:bCs w:val="1"/>
                <w:sz w:val="22"/>
                <w:szCs w:val="22"/>
                <w:rtl w:val="0"/>
              </w:rPr>
              <w:t xml:space="preserve">Next review due:</w:t>
            </w:r>
            <w:r w:rsidDel="00000000" w:rsidR="00000000" w:rsidRPr="00000000">
              <w:rPr>
                <w:rtl w:val="0"/>
              </w:rPr>
            </w:r>
          </w:p>
        </w:tc>
        <w:tc>
          <w:tcPr>
            <w:gridSpan w:val="2"/>
            <w:shd w:fill="d9d9d9" w:val="clear"/>
          </w:tcPr>
          <w:p w:rsidR="00000000" w:rsidDel="00000000" w:rsidP="00000000" w:rsidRDefault="00000000" w:rsidRPr="00000000" w14:paraId="00000026">
            <w:pPr>
              <w:ind w:left="0" w:hanging="2"/>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b w:val="1"/>
                <w:bCs w:val="1"/>
                <w:color w:val="0000ff"/>
                <w:sz w:val="22"/>
                <w:szCs w:val="22"/>
                <w:rtl w:val="0"/>
              </w:rPr>
              <w:t xml:space="preserve">September 2026</w:t>
            </w:r>
            <w:r w:rsidDel="00000000" w:rsidR="00000000" w:rsidRPr="00000000">
              <w:rPr>
                <w:rtl w:val="0"/>
              </w:rPr>
            </w:r>
          </w:p>
        </w:tc>
      </w:tr>
    </w:tbl>
    <w:p w:rsidR="00000000" w:rsidDel="00000000" w:rsidP="00000000" w:rsidRDefault="00000000" w:rsidRPr="00000000" w14:paraId="00000028">
      <w:pPr>
        <w:ind w:left="0" w:hanging="2"/>
        <w:jc w:val="center"/>
        <w:rPr>
          <w:rFonts w:ascii="Bookman Old Style" w:cs="Bookman Old Style" w:eastAsia="Bookman Old Style" w:hAnsi="Bookman Old Style"/>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29">
      <w:pPr>
        <w:ind w:left="0" w:hanging="2"/>
        <w:rPr>
          <w:rFonts w:ascii="Bookman Old Style" w:cs="Bookman Old Style" w:eastAsia="Bookman Old Style" w:hAnsi="Bookman Old Style"/>
          <w:sz w:val="28"/>
          <w:szCs w:val="28"/>
        </w:rPr>
      </w:pPr>
      <w:r w:rsidDel="00000000" w:rsidR="00000000" w:rsidRPr="00000000">
        <w:rPr>
          <w:rFonts w:ascii="Bookman Old Style" w:cs="Bookman Old Style" w:eastAsia="Bookman Old Style" w:hAnsi="Bookman Old Style"/>
          <w:b w:val="1"/>
          <w:bCs w:val="1"/>
          <w:rtl w:val="0"/>
        </w:rPr>
        <w:t xml:space="preserve">Disabled Access to the Physical Environment</w:t>
      </w:r>
      <w:r w:rsidDel="00000000" w:rsidR="00000000" w:rsidRPr="00000000">
        <w:rPr>
          <w:rtl w:val="0"/>
        </w:rPr>
      </w:r>
    </w:p>
    <w:p w:rsidR="00000000" w:rsidDel="00000000" w:rsidP="00000000" w:rsidRDefault="00000000" w:rsidRPr="00000000" w14:paraId="0000002A">
      <w:pPr>
        <w:ind w:left="0" w:hanging="2"/>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Both school sites are Grade 2 Listed Buildings.  We have worked closely with both the Local Planning Office and the Conservation Office to ensure the requirements of the Disability Act are met as far as possible within the constraints of their regulations.</w:t>
      </w:r>
    </w:p>
    <w:p w:rsidR="00000000" w:rsidDel="00000000" w:rsidP="00000000" w:rsidRDefault="00000000" w:rsidRPr="00000000" w14:paraId="0000002B">
      <w:pPr>
        <w:ind w:left="0" w:hanging="2"/>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C">
      <w:pPr>
        <w:ind w:left="0" w:hanging="2"/>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We are aware that wheelchair access to the 1</w:t>
      </w:r>
      <w:r w:rsidDel="00000000" w:rsidR="00000000" w:rsidRPr="00000000">
        <w:rPr>
          <w:rFonts w:ascii="Bookman Old Style" w:cs="Bookman Old Style" w:eastAsia="Bookman Old Style" w:hAnsi="Bookman Old Style"/>
          <w:vertAlign w:val="superscript"/>
          <w:rtl w:val="0"/>
        </w:rPr>
        <w:t xml:space="preserve">st</w:t>
      </w:r>
      <w:r w:rsidDel="00000000" w:rsidR="00000000" w:rsidRPr="00000000">
        <w:rPr>
          <w:rFonts w:ascii="Bookman Old Style" w:cs="Bookman Old Style" w:eastAsia="Bookman Old Style" w:hAnsi="Bookman Old Style"/>
          <w:rtl w:val="0"/>
        </w:rPr>
        <w:t xml:space="preserve"> floor of both the Clare and Sible Hedingham sites would be impossible to facilitate.</w:t>
      </w:r>
    </w:p>
    <w:p w:rsidR="00000000" w:rsidDel="00000000" w:rsidP="00000000" w:rsidRDefault="00000000" w:rsidRPr="00000000" w14:paraId="0000002D">
      <w:pPr>
        <w:ind w:left="0" w:hanging="2"/>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2E">
      <w:pPr>
        <w:ind w:left="0" w:hanging="2"/>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Both sites have toilets downstairs which are accessible to the disabled, but not to wheelchairs.  </w:t>
      </w:r>
    </w:p>
    <w:p w:rsidR="00000000" w:rsidDel="00000000" w:rsidP="00000000" w:rsidRDefault="00000000" w:rsidRPr="00000000" w14:paraId="0000002F">
      <w:pPr>
        <w:ind w:left="0" w:hanging="2"/>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30">
      <w:pPr>
        <w:ind w:left="0" w:hanging="2"/>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Offices are sited on the ground floor as are kitchens, toilets, eating and working areas.</w:t>
      </w:r>
    </w:p>
    <w:p w:rsidR="00000000" w:rsidDel="00000000" w:rsidP="00000000" w:rsidRDefault="00000000" w:rsidRPr="00000000" w14:paraId="00000031">
      <w:pPr>
        <w:ind w:left="0" w:hanging="2"/>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32">
      <w:pPr>
        <w:ind w:left="0" w:hanging="2"/>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Working space is available for the physically disabled on the ground floor of both sites.</w:t>
      </w:r>
    </w:p>
    <w:p w:rsidR="00000000" w:rsidDel="00000000" w:rsidP="00000000" w:rsidRDefault="00000000" w:rsidRPr="00000000" w14:paraId="00000033">
      <w:pPr>
        <w:ind w:left="0" w:hanging="2"/>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34">
      <w:pPr>
        <w:ind w:left="1" w:hanging="3"/>
        <w:rPr>
          <w:rFonts w:ascii="Bookman Old Style" w:cs="Bookman Old Style" w:eastAsia="Bookman Old Style" w:hAnsi="Bookman Old Style"/>
          <w:sz w:val="28"/>
          <w:szCs w:val="28"/>
        </w:rPr>
      </w:pPr>
      <w:r w:rsidDel="00000000" w:rsidR="00000000" w:rsidRPr="00000000">
        <w:rPr>
          <w:rtl w:val="0"/>
        </w:rPr>
      </w:r>
    </w:p>
    <w:p w:rsidR="00000000" w:rsidDel="00000000" w:rsidP="00000000" w:rsidRDefault="00000000" w:rsidRPr="00000000" w14:paraId="00000035">
      <w:pPr>
        <w:ind w:left="0" w:hanging="2"/>
        <w:rPr>
          <w:rFonts w:ascii="Bookman Old Style" w:cs="Bookman Old Style" w:eastAsia="Bookman Old Style" w:hAnsi="Bookman Old Style"/>
          <w:color w:val="0000ff"/>
          <w:u w:val="single"/>
        </w:rPr>
      </w:pPr>
      <w:r w:rsidDel="00000000" w:rsidR="00000000" w:rsidRPr="00000000">
        <w:rPr>
          <w:rFonts w:ascii="Bookman Old Style" w:cs="Bookman Old Style" w:eastAsia="Bookman Old Style" w:hAnsi="Bookman Old Style"/>
          <w:b w:val="1"/>
          <w:bCs w:val="1"/>
          <w:color w:val="0000ff"/>
          <w:u w:val="single"/>
          <w:rtl w:val="0"/>
        </w:rPr>
        <w:t xml:space="preserve">The Disability Discrimination Act (DDA), Special Needs and Access Arrangements</w:t>
      </w:r>
      <w:r w:rsidDel="00000000" w:rsidR="00000000" w:rsidRPr="00000000">
        <w:rPr>
          <w:rtl w:val="0"/>
        </w:rPr>
      </w:r>
    </w:p>
    <w:p w:rsidR="00000000" w:rsidDel="00000000" w:rsidP="00000000" w:rsidRDefault="00000000" w:rsidRPr="00000000" w14:paraId="00000036">
      <w:pPr>
        <w:ind w:left="1" w:hanging="3"/>
        <w:rPr>
          <w:rFonts w:ascii="Bookman Old Style" w:cs="Bookman Old Style" w:eastAsia="Bookman Old Style" w:hAnsi="Bookman Old Style"/>
          <w:sz w:val="28"/>
          <w:szCs w:val="28"/>
        </w:rPr>
      </w:pPr>
      <w:r w:rsidDel="00000000" w:rsidR="00000000" w:rsidRPr="00000000">
        <w:rPr>
          <w:rtl w:val="0"/>
        </w:rPr>
      </w:r>
    </w:p>
    <w:p w:rsidR="00000000" w:rsidDel="00000000" w:rsidP="00000000" w:rsidRDefault="00000000" w:rsidRPr="00000000" w14:paraId="00000037">
      <w:pPr>
        <w:ind w:left="0" w:hanging="2"/>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The Disability Discrimination act 2005 extends the application of the DDA to general qualifications. All exam centre staff must ensure that the access arrangements and special consideration regulations and guidance are consistent with the law.</w:t>
      </w:r>
    </w:p>
    <w:p w:rsidR="00000000" w:rsidDel="00000000" w:rsidP="00000000" w:rsidRDefault="00000000" w:rsidRPr="00000000" w14:paraId="00000038">
      <w:pPr>
        <w:ind w:left="1" w:hanging="3"/>
        <w:rPr>
          <w:rFonts w:ascii="Bookman Old Style" w:cs="Bookman Old Style" w:eastAsia="Bookman Old Style" w:hAnsi="Bookman Old Style"/>
          <w:sz w:val="28"/>
          <w:szCs w:val="28"/>
        </w:rPr>
      </w:pPr>
      <w:r w:rsidDel="00000000" w:rsidR="00000000" w:rsidRPr="00000000">
        <w:rPr>
          <w:rtl w:val="0"/>
        </w:rPr>
      </w:r>
    </w:p>
    <w:p w:rsidR="00000000" w:rsidDel="00000000" w:rsidP="00000000" w:rsidRDefault="00000000" w:rsidRPr="00000000" w14:paraId="00000039">
      <w:pPr>
        <w:ind w:left="0" w:hanging="2"/>
        <w:rPr>
          <w:rFonts w:ascii="Bookman Old Style" w:cs="Bookman Old Style" w:eastAsia="Bookman Old Style" w:hAnsi="Bookman Old Style"/>
          <w:sz w:val="32"/>
          <w:szCs w:val="32"/>
        </w:rPr>
      </w:pPr>
      <w:r w:rsidDel="00000000" w:rsidR="00000000" w:rsidRPr="00000000">
        <w:rPr>
          <w:rFonts w:ascii="Bookman Old Style" w:cs="Bookman Old Style" w:eastAsia="Bookman Old Style" w:hAnsi="Bookman Old Style"/>
          <w:b w:val="1"/>
          <w:bCs w:val="1"/>
          <w:rtl w:val="0"/>
        </w:rPr>
        <w:t xml:space="preserve">Special Needs</w:t>
      </w:r>
      <w:r w:rsidDel="00000000" w:rsidR="00000000" w:rsidRPr="00000000">
        <w:rPr>
          <w:rtl w:val="0"/>
        </w:rPr>
      </w:r>
    </w:p>
    <w:p w:rsidR="00000000" w:rsidDel="00000000" w:rsidP="00000000" w:rsidRDefault="00000000" w:rsidRPr="00000000" w14:paraId="0000003A">
      <w:pPr>
        <w:ind w:left="0" w:hanging="2"/>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 candidate’s special needs requirements are determined by The Yellow House staff team, doctors (EWMHS), and educational psychologists.</w:t>
      </w:r>
    </w:p>
    <w:p w:rsidR="00000000" w:rsidDel="00000000" w:rsidP="00000000" w:rsidRDefault="00000000" w:rsidRPr="00000000" w14:paraId="0000003B">
      <w:pPr>
        <w:ind w:left="0" w:hanging="2"/>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3C">
      <w:pPr>
        <w:ind w:left="0" w:hanging="2"/>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The exam officer will inform subject teachers of candidates with special educational needs who are embarking on a course leading to an exam, and the date of that exam. The exam officer can then inform individual staff of any special arrangements that individual candidates can be granted during the course and in the exam.</w:t>
      </w:r>
    </w:p>
    <w:p w:rsidR="00000000" w:rsidDel="00000000" w:rsidP="00000000" w:rsidRDefault="00000000" w:rsidRPr="00000000" w14:paraId="0000003D">
      <w:pPr>
        <w:ind w:left="1" w:hanging="3"/>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3E">
      <w:pPr>
        <w:ind w:left="0" w:hanging="2"/>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bCs w:val="1"/>
          <w:rtl w:val="0"/>
        </w:rPr>
        <w:t xml:space="preserve">Access Arrangements</w:t>
      </w:r>
      <w:r w:rsidDel="00000000" w:rsidR="00000000" w:rsidRPr="00000000">
        <w:rPr>
          <w:rtl w:val="0"/>
        </w:rPr>
      </w:r>
    </w:p>
    <w:p w:rsidR="00000000" w:rsidDel="00000000" w:rsidP="00000000" w:rsidRDefault="00000000" w:rsidRPr="00000000" w14:paraId="0000003F">
      <w:pPr>
        <w:ind w:left="0" w:hanging="2"/>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Making special arrangements for candidates to take exams is the responsibility of the senior team and the exams officer Submitting completed access arrangement applications to the awarding bodies is the responsibility of the exams officer.  Rooming for access arrangement candidates will be organised by the exams officer.</w:t>
      </w:r>
    </w:p>
    <w:p w:rsidR="00000000" w:rsidDel="00000000" w:rsidP="00000000" w:rsidRDefault="00000000" w:rsidRPr="00000000" w14:paraId="00000040">
      <w:pPr>
        <w:ind w:left="1" w:hanging="3"/>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41">
      <w:pPr>
        <w:ind w:left="1" w:hanging="3"/>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42">
      <w:pPr>
        <w:ind w:left="1" w:hanging="3"/>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43">
      <w:pPr>
        <w:ind w:left="0" w:hanging="2"/>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44">
      <w:pPr>
        <w:ind w:left="0" w:hanging="2"/>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bCs w:val="1"/>
          <w:rtl w:val="0"/>
        </w:rPr>
        <w:t xml:space="preserve">Staff Provision</w:t>
      </w:r>
      <w:r w:rsidDel="00000000" w:rsidR="00000000" w:rsidRPr="00000000">
        <w:rPr>
          <w:rtl w:val="0"/>
        </w:rPr>
      </w:r>
    </w:p>
    <w:p w:rsidR="00000000" w:rsidDel="00000000" w:rsidP="00000000" w:rsidRDefault="00000000" w:rsidRPr="00000000" w14:paraId="00000045">
      <w:pPr>
        <w:ind w:left="0" w:hanging="2"/>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All staff at The Yellow House work closely with each student and therefore are conversant with their requirements with regards to Physical, Medical and Educational needs.  External candidates are not accepted.  No outside invigilators are employed as unnecessary anxiety is caused by unfamiliar visitors.</w:t>
      </w:r>
    </w:p>
    <w:p w:rsidR="00000000" w:rsidDel="00000000" w:rsidP="00000000" w:rsidRDefault="00000000" w:rsidRPr="00000000" w14:paraId="00000046">
      <w:pPr>
        <w:ind w:left="1" w:hanging="3"/>
        <w:rPr>
          <w:rFonts w:ascii="Bookman Old Style" w:cs="Bookman Old Style" w:eastAsia="Bookman Old Style" w:hAnsi="Bookman Old Style"/>
          <w:sz w:val="32"/>
          <w:szCs w:val="32"/>
        </w:rPr>
      </w:pPr>
      <w:r w:rsidDel="00000000" w:rsidR="00000000" w:rsidRPr="00000000">
        <w:rPr>
          <w:rtl w:val="0"/>
        </w:rPr>
      </w:r>
    </w:p>
    <w:p w:rsidR="00000000" w:rsidDel="00000000" w:rsidP="00000000" w:rsidRDefault="00000000" w:rsidRPr="00000000" w14:paraId="00000047">
      <w:pPr>
        <w:ind w:left="0" w:hanging="2"/>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bCs w:val="1"/>
          <w:rtl w:val="0"/>
        </w:rPr>
        <w:t xml:space="preserve">Physical Disability</w:t>
      </w:r>
      <w:r w:rsidDel="00000000" w:rsidR="00000000" w:rsidRPr="00000000">
        <w:rPr>
          <w:rtl w:val="0"/>
        </w:rPr>
      </w:r>
    </w:p>
    <w:p w:rsidR="00000000" w:rsidDel="00000000" w:rsidP="00000000" w:rsidRDefault="00000000" w:rsidRPr="00000000" w14:paraId="00000048">
      <w:pPr>
        <w:ind w:left="0" w:hanging="2"/>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Any accident prior to the examination that renders a student physically disabled would be catered for by the use of the rear entrance and the student to remain on the ground floor with the use of the ground floor toilet. 1:1 supervision would provide help should an emergency evacuation be needed.</w:t>
      </w:r>
    </w:p>
    <w:p w:rsidR="00000000" w:rsidDel="00000000" w:rsidP="00000000" w:rsidRDefault="00000000" w:rsidRPr="00000000" w14:paraId="00000049">
      <w:pPr>
        <w:ind w:left="1" w:hanging="3"/>
        <w:rPr>
          <w:rFonts w:ascii="Bookman Old Style" w:cs="Bookman Old Style" w:eastAsia="Bookman Old Style" w:hAnsi="Bookman Old Style"/>
          <w:sz w:val="28"/>
          <w:szCs w:val="28"/>
        </w:rPr>
      </w:pPr>
      <w:r w:rsidDel="00000000" w:rsidR="00000000" w:rsidRPr="00000000">
        <w:rPr>
          <w:rtl w:val="0"/>
        </w:rPr>
      </w:r>
    </w:p>
    <w:p w:rsidR="00000000" w:rsidDel="00000000" w:rsidP="00000000" w:rsidRDefault="00000000" w:rsidRPr="00000000" w14:paraId="0000004A">
      <w:pPr>
        <w:ind w:left="0" w:hanging="2"/>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bCs w:val="1"/>
          <w:rtl w:val="0"/>
        </w:rPr>
        <w:t xml:space="preserve">Wheelchair Use</w:t>
      </w:r>
      <w:r w:rsidDel="00000000" w:rsidR="00000000" w:rsidRPr="00000000">
        <w:rPr>
          <w:rtl w:val="0"/>
        </w:rPr>
      </w:r>
    </w:p>
    <w:p w:rsidR="00000000" w:rsidDel="00000000" w:rsidP="00000000" w:rsidRDefault="00000000" w:rsidRPr="00000000" w14:paraId="0000004B">
      <w:pPr>
        <w:ind w:left="0" w:hanging="2"/>
        <w:jc w:val="both"/>
        <w:rPr>
          <w:rFonts w:ascii="Bookman Old Style" w:cs="Bookman Old Style" w:eastAsia="Bookman Old Style" w:hAnsi="Bookman Old Style"/>
        </w:rPr>
        <w:sectPr>
          <w:footerReference r:id="rId9" w:type="default"/>
          <w:pgSz w:h="16838" w:w="11906" w:orient="portrait"/>
          <w:pgMar w:bottom="1440" w:top="1440" w:left="1797" w:right="1797" w:header="709" w:footer="709"/>
          <w:pgNumType w:start="1"/>
          <w:titlePg w:val="1"/>
        </w:sectPr>
      </w:pPr>
      <w:r w:rsidDel="00000000" w:rsidR="00000000" w:rsidRPr="00000000">
        <w:rPr>
          <w:rFonts w:ascii="Bookman Old Style" w:cs="Bookman Old Style" w:eastAsia="Bookman Old Style" w:hAnsi="Bookman Old Style"/>
          <w:rtl w:val="0"/>
        </w:rPr>
        <w:t xml:space="preserve">The Yellow House is a listed building and therefore cannot provide wheelchair access through the front entrance or accessibility throughout the building.  The Yellow House lays out in its admission policy that students have emotional and psychological needs.  We are unable to meet the needs of physically disabled students who are in a wheelchair at the present time.    </w:t>
      </w:r>
    </w:p>
    <w:p w:rsidR="00000000" w:rsidDel="00000000" w:rsidP="00000000" w:rsidRDefault="00000000" w:rsidRPr="00000000" w14:paraId="0000004C">
      <w:pPr>
        <w:ind w:left="1" w:hanging="3"/>
        <w:jc w:val="center"/>
        <w:rPr>
          <w:rFonts w:ascii="Bookman Old Style" w:cs="Bookman Old Style" w:eastAsia="Bookman Old Style" w:hAnsi="Bookman Old Style"/>
          <w:sz w:val="28"/>
          <w:szCs w:val="28"/>
        </w:rPr>
      </w:pPr>
      <w:r w:rsidDel="00000000" w:rsidR="00000000" w:rsidRPr="00000000">
        <w:rPr>
          <w:rFonts w:ascii="Bookman Old Style" w:cs="Bookman Old Style" w:eastAsia="Bookman Old Style" w:hAnsi="Bookman Old Style"/>
          <w:b w:val="1"/>
          <w:bCs w:val="1"/>
          <w:sz w:val="28"/>
          <w:szCs w:val="28"/>
          <w:rtl w:val="0"/>
        </w:rPr>
        <w:t xml:space="preserve">The Yellow House Disability Access Plan</w:t>
      </w:r>
      <w:r w:rsidDel="00000000" w:rsidR="00000000" w:rsidRPr="00000000">
        <w:rPr>
          <w:rtl w:val="0"/>
        </w:rPr>
      </w:r>
    </w:p>
    <w:p w:rsidR="00000000" w:rsidDel="00000000" w:rsidP="00000000" w:rsidRDefault="00000000" w:rsidRPr="00000000" w14:paraId="0000004D">
      <w:pPr>
        <w:ind w:left="1" w:hanging="3"/>
        <w:jc w:val="center"/>
        <w:rPr>
          <w:rFonts w:ascii="Bookman Old Style" w:cs="Bookman Old Style" w:eastAsia="Bookman Old Style" w:hAnsi="Bookman Old Style"/>
          <w:sz w:val="28"/>
          <w:szCs w:val="28"/>
        </w:rPr>
      </w:pPr>
      <w:r w:rsidDel="00000000" w:rsidR="00000000" w:rsidRPr="00000000">
        <w:rPr>
          <w:rtl w:val="0"/>
        </w:rPr>
      </w:r>
    </w:p>
    <w:p w:rsidR="00000000" w:rsidDel="00000000" w:rsidP="00000000" w:rsidRDefault="00000000" w:rsidRPr="00000000" w14:paraId="0000004E">
      <w:pPr>
        <w:ind w:left="0" w:hanging="2"/>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This plan is written under the requirements of the SEN Disability Act 2001 and sets out the school strategy on maintaining access improvements for disabled pupils.  It covers three aspects of access for disabled pupils:</w:t>
      </w:r>
    </w:p>
    <w:p w:rsidR="00000000" w:rsidDel="00000000" w:rsidP="00000000" w:rsidRDefault="00000000" w:rsidRPr="00000000" w14:paraId="0000004F">
      <w:pPr>
        <w:numPr>
          <w:ilvl w:val="0"/>
          <w:numId w:val="1"/>
        </w:numPr>
        <w:ind w:left="0" w:hanging="2"/>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increased access to the curriculum for disabled pupils,</w:t>
      </w:r>
    </w:p>
    <w:p w:rsidR="00000000" w:rsidDel="00000000" w:rsidP="00000000" w:rsidRDefault="00000000" w:rsidRPr="00000000" w14:paraId="00000050">
      <w:pPr>
        <w:numPr>
          <w:ilvl w:val="0"/>
          <w:numId w:val="1"/>
        </w:numPr>
        <w:ind w:left="0" w:hanging="2"/>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the physical environment of the school to increase access to education and associated services at schools,</w:t>
      </w:r>
    </w:p>
    <w:p w:rsidR="00000000" w:rsidDel="00000000" w:rsidP="00000000" w:rsidRDefault="00000000" w:rsidRPr="00000000" w14:paraId="00000051">
      <w:pPr>
        <w:numPr>
          <w:ilvl w:val="0"/>
          <w:numId w:val="1"/>
        </w:numPr>
        <w:ind w:left="0" w:hanging="2"/>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maintaining improvement in the provision to disabled pupils of information that is provided in writing to pupils who are not disabled.</w:t>
      </w:r>
    </w:p>
    <w:p w:rsidR="00000000" w:rsidDel="00000000" w:rsidP="00000000" w:rsidRDefault="00000000" w:rsidRPr="00000000" w14:paraId="00000052">
      <w:pPr>
        <w:ind w:left="0" w:hanging="2"/>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53">
      <w:pPr>
        <w:ind w:left="0" w:hanging="2"/>
        <w:rPr>
          <w:rFonts w:ascii="Bookman Old Style" w:cs="Bookman Old Style" w:eastAsia="Bookman Old Style" w:hAnsi="Bookman Old Style"/>
          <w:sz w:val="28"/>
          <w:szCs w:val="28"/>
        </w:rPr>
      </w:pPr>
      <w:r w:rsidDel="00000000" w:rsidR="00000000" w:rsidRPr="00000000">
        <w:rPr>
          <w:rFonts w:ascii="Bookman Old Style" w:cs="Bookman Old Style" w:eastAsia="Bookman Old Style" w:hAnsi="Bookman Old Style"/>
          <w:rtl w:val="0"/>
        </w:rPr>
        <w:t xml:space="preserve">The Yellow House is committed to meeting the full requirements of the Act and providing access as defined above.</w:t>
      </w:r>
      <w:r w:rsidDel="00000000" w:rsidR="00000000" w:rsidRPr="00000000">
        <w:rPr>
          <w:rtl w:val="0"/>
        </w:rPr>
      </w:r>
    </w:p>
    <w:tbl>
      <w:tblPr>
        <w:tblStyle w:val="Table2"/>
        <w:tblW w:w="1486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22"/>
        <w:gridCol w:w="2805"/>
        <w:gridCol w:w="2832"/>
        <w:gridCol w:w="2835"/>
        <w:gridCol w:w="1894"/>
        <w:gridCol w:w="2880"/>
        <w:tblGridChange w:id="0">
          <w:tblGrid>
            <w:gridCol w:w="1622"/>
            <w:gridCol w:w="2805"/>
            <w:gridCol w:w="2832"/>
            <w:gridCol w:w="2835"/>
            <w:gridCol w:w="1894"/>
            <w:gridCol w:w="2880"/>
          </w:tblGrid>
        </w:tblGridChange>
      </w:tblGrid>
      <w:tr>
        <w:trPr>
          <w:cantSplit w:val="0"/>
          <w:tblHeader w:val="0"/>
        </w:trPr>
        <w:tc>
          <w:tcPr/>
          <w:p w:rsidR="00000000" w:rsidDel="00000000" w:rsidP="00000000" w:rsidRDefault="00000000" w:rsidRPr="00000000" w14:paraId="00000054">
            <w:pPr>
              <w:ind w:left="1" w:hanging="3"/>
              <w:rPr>
                <w:rFonts w:ascii="Bookman Old Style" w:cs="Bookman Old Style" w:eastAsia="Bookman Old Style" w:hAnsi="Bookman Old Style"/>
                <w:sz w:val="28"/>
                <w:szCs w:val="28"/>
              </w:rPr>
            </w:pPr>
            <w:r w:rsidDel="00000000" w:rsidR="00000000" w:rsidRPr="00000000">
              <w:rPr>
                <w:rtl w:val="0"/>
              </w:rPr>
            </w:r>
          </w:p>
        </w:tc>
        <w:tc>
          <w:tcPr/>
          <w:p w:rsidR="00000000" w:rsidDel="00000000" w:rsidP="00000000" w:rsidRDefault="00000000" w:rsidRPr="00000000" w14:paraId="00000055">
            <w:pPr>
              <w:ind w:left="0" w:hanging="2"/>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bCs w:val="1"/>
                <w:rtl w:val="0"/>
              </w:rPr>
              <w:t xml:space="preserve">Targets</w:t>
            </w:r>
            <w:r w:rsidDel="00000000" w:rsidR="00000000" w:rsidRPr="00000000">
              <w:rPr>
                <w:rtl w:val="0"/>
              </w:rPr>
            </w:r>
          </w:p>
        </w:tc>
        <w:tc>
          <w:tcPr/>
          <w:p w:rsidR="00000000" w:rsidDel="00000000" w:rsidP="00000000" w:rsidRDefault="00000000" w:rsidRPr="00000000" w14:paraId="00000056">
            <w:pPr>
              <w:ind w:left="0" w:hanging="2"/>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bCs w:val="1"/>
                <w:rtl w:val="0"/>
              </w:rPr>
              <w:t xml:space="preserve">Strategies</w:t>
            </w:r>
            <w:r w:rsidDel="00000000" w:rsidR="00000000" w:rsidRPr="00000000">
              <w:rPr>
                <w:rtl w:val="0"/>
              </w:rPr>
            </w:r>
          </w:p>
        </w:tc>
        <w:tc>
          <w:tcPr/>
          <w:p w:rsidR="00000000" w:rsidDel="00000000" w:rsidP="00000000" w:rsidRDefault="00000000" w:rsidRPr="00000000" w14:paraId="00000057">
            <w:pPr>
              <w:ind w:left="0" w:hanging="2"/>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bCs w:val="1"/>
                <w:rtl w:val="0"/>
              </w:rPr>
              <w:t xml:space="preserve">Outcome</w:t>
            </w:r>
            <w:r w:rsidDel="00000000" w:rsidR="00000000" w:rsidRPr="00000000">
              <w:rPr>
                <w:rtl w:val="0"/>
              </w:rPr>
            </w:r>
          </w:p>
        </w:tc>
        <w:tc>
          <w:tcPr/>
          <w:p w:rsidR="00000000" w:rsidDel="00000000" w:rsidP="00000000" w:rsidRDefault="00000000" w:rsidRPr="00000000" w14:paraId="00000058">
            <w:pPr>
              <w:ind w:left="0" w:hanging="2"/>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bCs w:val="1"/>
                <w:rtl w:val="0"/>
              </w:rPr>
              <w:t xml:space="preserve">Timeframe</w:t>
            </w:r>
            <w:r w:rsidDel="00000000" w:rsidR="00000000" w:rsidRPr="00000000">
              <w:rPr>
                <w:rtl w:val="0"/>
              </w:rPr>
            </w:r>
          </w:p>
        </w:tc>
        <w:tc>
          <w:tcPr/>
          <w:p w:rsidR="00000000" w:rsidDel="00000000" w:rsidP="00000000" w:rsidRDefault="00000000" w:rsidRPr="00000000" w14:paraId="00000059">
            <w:pPr>
              <w:ind w:left="0" w:hanging="2"/>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bCs w:val="1"/>
                <w:rtl w:val="0"/>
              </w:rPr>
              <w:t xml:space="preserve">Goals Achieved</w:t>
            </w:r>
            <w:r w:rsidDel="00000000" w:rsidR="00000000" w:rsidRPr="00000000">
              <w:rPr>
                <w:rtl w:val="0"/>
              </w:rPr>
            </w:r>
          </w:p>
        </w:tc>
      </w:tr>
      <w:tr>
        <w:trPr>
          <w:cantSplit w:val="0"/>
          <w:tblHeader w:val="0"/>
        </w:trPr>
        <w:tc>
          <w:tcPr/>
          <w:p w:rsidR="00000000" w:rsidDel="00000000" w:rsidP="00000000" w:rsidRDefault="00000000" w:rsidRPr="00000000" w14:paraId="0000005A">
            <w:pPr>
              <w:ind w:left="0" w:hanging="2"/>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bCs w:val="1"/>
                <w:rtl w:val="0"/>
              </w:rPr>
              <w:t xml:space="preserve">Short Term</w:t>
            </w:r>
            <w:r w:rsidDel="00000000" w:rsidR="00000000" w:rsidRPr="00000000">
              <w:rPr>
                <w:rtl w:val="0"/>
              </w:rPr>
            </w:r>
          </w:p>
        </w:tc>
        <w:tc>
          <w:tcPr/>
          <w:p w:rsidR="00000000" w:rsidDel="00000000" w:rsidP="00000000" w:rsidRDefault="00000000" w:rsidRPr="00000000" w14:paraId="0000005B">
            <w:pPr>
              <w:ind w:left="0" w:hanging="2"/>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Identification of students with barriers to learning</w:t>
            </w:r>
          </w:p>
          <w:p w:rsidR="00000000" w:rsidDel="00000000" w:rsidP="00000000" w:rsidRDefault="00000000" w:rsidRPr="00000000" w14:paraId="0000005C">
            <w:pPr>
              <w:ind w:left="0" w:hanging="2"/>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5D">
            <w:pPr>
              <w:ind w:left="0" w:hanging="2"/>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5E">
            <w:pPr>
              <w:ind w:left="0" w:hanging="2"/>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5F">
            <w:pPr>
              <w:ind w:left="0" w:hanging="2"/>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60">
            <w:pPr>
              <w:ind w:left="0" w:hanging="2"/>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61">
            <w:pPr>
              <w:ind w:left="0" w:hanging="2"/>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62">
            <w:pPr>
              <w:ind w:left="0" w:hanging="2"/>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63">
            <w:pPr>
              <w:ind w:left="0" w:hanging="2"/>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Increased access to the curriculum</w:t>
            </w:r>
          </w:p>
        </w:tc>
        <w:tc>
          <w:tcPr/>
          <w:p w:rsidR="00000000" w:rsidDel="00000000" w:rsidP="00000000" w:rsidRDefault="00000000" w:rsidRPr="00000000" w14:paraId="00000064">
            <w:pPr>
              <w:ind w:left="0" w:hanging="2"/>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Staff to gain accurate assessments and feedback on individual students</w:t>
            </w:r>
          </w:p>
          <w:p w:rsidR="00000000" w:rsidDel="00000000" w:rsidP="00000000" w:rsidRDefault="00000000" w:rsidRPr="00000000" w14:paraId="00000065">
            <w:pPr>
              <w:ind w:left="0" w:hanging="2"/>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66">
            <w:pPr>
              <w:ind w:left="0" w:hanging="2"/>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Risk assessments.</w:t>
            </w:r>
          </w:p>
          <w:p w:rsidR="00000000" w:rsidDel="00000000" w:rsidP="00000000" w:rsidRDefault="00000000" w:rsidRPr="00000000" w14:paraId="00000067">
            <w:pPr>
              <w:ind w:left="0" w:hanging="2"/>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Use identifying barriers to learning checklists</w:t>
            </w:r>
          </w:p>
          <w:p w:rsidR="00000000" w:rsidDel="00000000" w:rsidP="00000000" w:rsidRDefault="00000000" w:rsidRPr="00000000" w14:paraId="00000068">
            <w:pPr>
              <w:ind w:left="0" w:hanging="2"/>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69">
            <w:pPr>
              <w:ind w:left="0" w:hanging="2"/>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EHCP’s, Care plans,</w:t>
            </w:r>
          </w:p>
          <w:p w:rsidR="00000000" w:rsidDel="00000000" w:rsidP="00000000" w:rsidRDefault="00000000" w:rsidRPr="00000000" w14:paraId="0000006A">
            <w:pPr>
              <w:ind w:left="0" w:hanging="2"/>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Problems identified</w:t>
            </w:r>
          </w:p>
          <w:p w:rsidR="00000000" w:rsidDel="00000000" w:rsidP="00000000" w:rsidRDefault="00000000" w:rsidRPr="00000000" w14:paraId="0000006B">
            <w:pPr>
              <w:ind w:left="0" w:hanging="2"/>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Assessment</w:t>
            </w:r>
          </w:p>
        </w:tc>
        <w:tc>
          <w:tcPr/>
          <w:p w:rsidR="00000000" w:rsidDel="00000000" w:rsidP="00000000" w:rsidRDefault="00000000" w:rsidRPr="00000000" w14:paraId="0000006C">
            <w:pPr>
              <w:ind w:left="0" w:hanging="2"/>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Staff to be aware of specific barriers to learning of individual students (initial assessments).</w:t>
            </w:r>
          </w:p>
          <w:p w:rsidR="00000000" w:rsidDel="00000000" w:rsidP="00000000" w:rsidRDefault="00000000" w:rsidRPr="00000000" w14:paraId="0000006D">
            <w:pPr>
              <w:ind w:left="0" w:hanging="2"/>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Staff to differentiate teaching delivery to maximise opportunity for learning to be achieved.</w:t>
            </w:r>
          </w:p>
          <w:p w:rsidR="00000000" w:rsidDel="00000000" w:rsidP="00000000" w:rsidRDefault="00000000" w:rsidRPr="00000000" w14:paraId="0000006E">
            <w:pPr>
              <w:ind w:left="0" w:hanging="2"/>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Computers</w:t>
            </w:r>
          </w:p>
          <w:p w:rsidR="00000000" w:rsidDel="00000000" w:rsidP="00000000" w:rsidRDefault="00000000" w:rsidRPr="00000000" w14:paraId="0000006F">
            <w:pPr>
              <w:ind w:left="0" w:hanging="2"/>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Scribes</w:t>
            </w:r>
          </w:p>
          <w:p w:rsidR="00000000" w:rsidDel="00000000" w:rsidP="00000000" w:rsidRDefault="00000000" w:rsidRPr="00000000" w14:paraId="00000070">
            <w:pPr>
              <w:ind w:left="0" w:hanging="2"/>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Coloured overlays</w:t>
            </w:r>
          </w:p>
          <w:p w:rsidR="00000000" w:rsidDel="00000000" w:rsidP="00000000" w:rsidRDefault="00000000" w:rsidRPr="00000000" w14:paraId="00000071">
            <w:pPr>
              <w:ind w:left="0" w:hanging="2"/>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Large pens</w:t>
            </w:r>
          </w:p>
          <w:p w:rsidR="00000000" w:rsidDel="00000000" w:rsidP="00000000" w:rsidRDefault="00000000" w:rsidRPr="00000000" w14:paraId="00000072">
            <w:pPr>
              <w:ind w:left="0" w:hanging="2"/>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Materials and hardware</w:t>
            </w:r>
          </w:p>
        </w:tc>
        <w:tc>
          <w:tcPr/>
          <w:p w:rsidR="00000000" w:rsidDel="00000000" w:rsidP="00000000" w:rsidRDefault="00000000" w:rsidRPr="00000000" w14:paraId="00000073">
            <w:pPr>
              <w:ind w:left="0" w:hanging="2"/>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Ongoing</w:t>
            </w:r>
          </w:p>
        </w:tc>
        <w:tc>
          <w:tcPr/>
          <w:p w:rsidR="00000000" w:rsidDel="00000000" w:rsidP="00000000" w:rsidRDefault="00000000" w:rsidRPr="00000000" w14:paraId="00000074">
            <w:pPr>
              <w:ind w:left="0" w:hanging="2"/>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Barriers to learning for individual pupils identified</w:t>
            </w:r>
          </w:p>
        </w:tc>
      </w:tr>
      <w:tr>
        <w:trPr>
          <w:cantSplit w:val="0"/>
          <w:tblHeader w:val="0"/>
        </w:trPr>
        <w:tc>
          <w:tcPr/>
          <w:p w:rsidR="00000000" w:rsidDel="00000000" w:rsidP="00000000" w:rsidRDefault="00000000" w:rsidRPr="00000000" w14:paraId="00000075">
            <w:pPr>
              <w:ind w:left="0" w:hanging="2"/>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bCs w:val="1"/>
                <w:rtl w:val="0"/>
              </w:rPr>
              <w:t xml:space="preserve">Long Term</w:t>
            </w:r>
            <w:r w:rsidDel="00000000" w:rsidR="00000000" w:rsidRPr="00000000">
              <w:rPr>
                <w:rtl w:val="0"/>
              </w:rPr>
            </w:r>
          </w:p>
        </w:tc>
        <w:tc>
          <w:tcPr/>
          <w:p w:rsidR="00000000" w:rsidDel="00000000" w:rsidP="00000000" w:rsidRDefault="00000000" w:rsidRPr="00000000" w14:paraId="00000076">
            <w:pPr>
              <w:ind w:left="0" w:hanging="2"/>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Ongoing assessment of physical environment</w:t>
            </w:r>
          </w:p>
        </w:tc>
        <w:tc>
          <w:tcPr/>
          <w:p w:rsidR="00000000" w:rsidDel="00000000" w:rsidP="00000000" w:rsidRDefault="00000000" w:rsidRPr="00000000" w14:paraId="00000077">
            <w:pPr>
              <w:ind w:left="0" w:hanging="2"/>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Awareness of issues when planning improvements and maintenance</w:t>
            </w:r>
          </w:p>
          <w:p w:rsidR="00000000" w:rsidDel="00000000" w:rsidP="00000000" w:rsidRDefault="00000000" w:rsidRPr="00000000" w14:paraId="00000078">
            <w:pPr>
              <w:ind w:left="0" w:hanging="2"/>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Non-threatening</w:t>
            </w:r>
          </w:p>
          <w:p w:rsidR="00000000" w:rsidDel="00000000" w:rsidP="00000000" w:rsidRDefault="00000000" w:rsidRPr="00000000" w14:paraId="00000079">
            <w:pPr>
              <w:ind w:left="0" w:hanging="2"/>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Small Scale</w:t>
            </w:r>
          </w:p>
          <w:p w:rsidR="00000000" w:rsidDel="00000000" w:rsidP="00000000" w:rsidRDefault="00000000" w:rsidRPr="00000000" w14:paraId="0000007A">
            <w:pPr>
              <w:ind w:left="0" w:hanging="2"/>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Light and airy</w:t>
            </w:r>
          </w:p>
        </w:tc>
        <w:tc>
          <w:tcPr/>
          <w:p w:rsidR="00000000" w:rsidDel="00000000" w:rsidP="00000000" w:rsidRDefault="00000000" w:rsidRPr="00000000" w14:paraId="0000007B">
            <w:pPr>
              <w:ind w:left="0" w:hanging="2"/>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Blinds on windows</w:t>
            </w:r>
          </w:p>
          <w:p w:rsidR="00000000" w:rsidDel="00000000" w:rsidP="00000000" w:rsidRDefault="00000000" w:rsidRPr="00000000" w14:paraId="0000007C">
            <w:pPr>
              <w:ind w:left="0" w:hanging="2"/>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Lighting</w:t>
            </w:r>
          </w:p>
          <w:p w:rsidR="00000000" w:rsidDel="00000000" w:rsidP="00000000" w:rsidRDefault="00000000" w:rsidRPr="00000000" w14:paraId="0000007D">
            <w:pPr>
              <w:ind w:left="0" w:hanging="2"/>
              <w:jc w:val="both"/>
              <w:rPr>
                <w:rFonts w:ascii="Bookman Old Style" w:cs="Bookman Old Style" w:eastAsia="Bookman Old Style" w:hAnsi="Bookman Old Style"/>
              </w:rPr>
            </w:pPr>
            <w:r w:rsidDel="00000000" w:rsidR="00000000" w:rsidRPr="00000000">
              <w:rPr>
                <w:rtl w:val="0"/>
              </w:rPr>
            </w:r>
          </w:p>
        </w:tc>
        <w:tc>
          <w:tcPr/>
          <w:p w:rsidR="00000000" w:rsidDel="00000000" w:rsidP="00000000" w:rsidRDefault="00000000" w:rsidRPr="00000000" w14:paraId="0000007E">
            <w:pPr>
              <w:ind w:left="0" w:hanging="2"/>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Ongoing</w:t>
            </w:r>
          </w:p>
        </w:tc>
        <w:tc>
          <w:tcPr/>
          <w:p w:rsidR="00000000" w:rsidDel="00000000" w:rsidP="00000000" w:rsidRDefault="00000000" w:rsidRPr="00000000" w14:paraId="0000007F">
            <w:pPr>
              <w:ind w:left="0" w:hanging="2"/>
              <w:jc w:val="both"/>
              <w:rPr>
                <w:rFonts w:ascii="Bookman Old Style" w:cs="Bookman Old Style" w:eastAsia="Bookman Old Style" w:hAnsi="Bookman Old Style"/>
              </w:rPr>
            </w:pPr>
            <w:r w:rsidDel="00000000" w:rsidR="00000000" w:rsidRPr="00000000">
              <w:rPr>
                <w:rtl w:val="0"/>
              </w:rPr>
            </w:r>
          </w:p>
        </w:tc>
      </w:tr>
    </w:tbl>
    <w:p w:rsidR="00000000" w:rsidDel="00000000" w:rsidP="00000000" w:rsidRDefault="00000000" w:rsidRPr="00000000" w14:paraId="00000080">
      <w:pPr>
        <w:ind w:left="1" w:hanging="3"/>
        <w:jc w:val="both"/>
        <w:rPr>
          <w:rFonts w:ascii="Bookman Old Style" w:cs="Bookman Old Style" w:eastAsia="Bookman Old Style" w:hAnsi="Bookman Old Style"/>
          <w:sz w:val="32"/>
          <w:szCs w:val="32"/>
        </w:rPr>
      </w:pPr>
      <w:r w:rsidDel="00000000" w:rsidR="00000000" w:rsidRPr="00000000">
        <w:rPr>
          <w:rtl w:val="0"/>
        </w:rPr>
      </w:r>
    </w:p>
    <w:sectPr>
      <w:type w:val="nextPage"/>
      <w:pgSz w:h="11906" w:w="16838" w:orient="landscape"/>
      <w:pgMar w:bottom="993" w:top="450" w:left="1440" w:right="1440"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omic Sans MS"/>
  <w:font w:name="Georgia"/>
  <w:font w:name="Courier New"/>
  <w:font w:name="Bookman Old Style"/>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1">
    <w:pPr>
      <w:pBdr>
        <w:top w:space="0" w:sz="0" w:val="nil"/>
        <w:left w:space="0" w:sz="0" w:val="nil"/>
        <w:bottom w:space="0" w:sz="0" w:val="nil"/>
        <w:right w:space="0" w:sz="0" w:val="nil"/>
        <w:between w:space="0" w:sz="0" w:val="nil"/>
      </w:pBdr>
      <w:tabs>
        <w:tab w:val="center" w:leader="none" w:pos="4513"/>
        <w:tab w:val="right" w:leader="none" w:pos="9026"/>
      </w:tabs>
      <w:spacing w:line="240" w:lineRule="auto"/>
      <w:ind w:left="0" w:hanging="2"/>
      <w:rPr>
        <w:rFonts w:ascii="Bookman Old Style" w:cs="Bookman Old Style" w:eastAsia="Bookman Old Style" w:hAnsi="Bookman Old Style"/>
        <w:color w:val="000000"/>
        <w:sz w:val="16"/>
        <w:szCs w:val="16"/>
      </w:rPr>
    </w:pPr>
    <w:r w:rsidDel="00000000" w:rsidR="00000000" w:rsidRPr="00000000">
      <w:rPr>
        <w:rFonts w:ascii="Bookman Old Style" w:cs="Bookman Old Style" w:eastAsia="Bookman Old Style" w:hAnsi="Bookman Old Style"/>
        <w:b w:val="1"/>
        <w:bCs w:val="1"/>
        <w:color w:val="000000"/>
        <w:sz w:val="16"/>
        <w:szCs w:val="16"/>
        <w:rtl w:val="0"/>
      </w:rPr>
      <w:t xml:space="preserve">The Yellow House – Accessibility Policy - </w:t>
    </w:r>
    <w:r w:rsidDel="00000000" w:rsidR="00000000" w:rsidRPr="00000000">
      <w:rPr>
        <w:rFonts w:ascii="Bookman Old Style" w:cs="Bookman Old Style" w:eastAsia="Bookman Old Style" w:hAnsi="Bookman Old Style"/>
        <w:b w:val="1"/>
        <w:bCs w:val="1"/>
        <w:sz w:val="16"/>
        <w:szCs w:val="16"/>
        <w:rtl w:val="0"/>
      </w:rPr>
      <w:t xml:space="preserve">May 2026</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_GB"/>
      </w:rPr>
    </w:rPrDefault>
    <w:pPrDefault>
      <w:pPr>
        <w:ind w:hanging="1"/>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tabs>
        <w:tab w:val="left" w:leader="none" w:pos="3195"/>
      </w:tabs>
    </w:pPr>
    <w:rPr>
      <w:rFonts w:ascii="Comic Sans MS" w:cs="Comic Sans MS" w:eastAsia="Comic Sans MS" w:hAnsi="Comic Sans MS"/>
      <w:color w:val="0000ff"/>
      <w:sz w:val="52"/>
      <w:szCs w:val="52"/>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pPr>
      <w:suppressAutoHyphens w:val="1"/>
      <w:spacing w:line="1" w:lineRule="atLeast"/>
      <w:ind w:left="-1" w:leftChars="-1" w:hanging="1" w:hangingChars="1"/>
      <w:textDirection w:val="btLr"/>
      <w:textAlignment w:val="top"/>
      <w:outlineLvl w:val="0"/>
    </w:pPr>
    <w:rPr>
      <w:position w:val="-1"/>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pPr>
      <w:tabs>
        <w:tab w:val="center" w:pos="4513"/>
        <w:tab w:val="right" w:pos="9026"/>
      </w:tabs>
    </w:pPr>
  </w:style>
  <w:style w:type="character" w:styleId="HeaderChar" w:customStyle="1">
    <w:name w:val="Header Char"/>
    <w:rPr>
      <w:w w:val="100"/>
      <w:position w:val="-1"/>
      <w:sz w:val="24"/>
      <w:szCs w:val="24"/>
      <w:effect w:val="none"/>
      <w:vertAlign w:val="baseline"/>
      <w:cs w:val="0"/>
      <w:em w:val="none"/>
    </w:rPr>
  </w:style>
  <w:style w:type="paragraph" w:styleId="Footer">
    <w:name w:val="footer"/>
    <w:basedOn w:val="Normal"/>
    <w:pPr>
      <w:tabs>
        <w:tab w:val="center" w:pos="4513"/>
        <w:tab w:val="right" w:pos="9026"/>
      </w:tabs>
    </w:pPr>
  </w:style>
  <w:style w:type="character" w:styleId="FooterChar" w:customStyle="1">
    <w:name w:val="Footer Char"/>
    <w:rPr>
      <w:w w:val="100"/>
      <w:position w:val="-1"/>
      <w:sz w:val="24"/>
      <w:szCs w:val="24"/>
      <w:effect w:val="none"/>
      <w:vertAlign w:val="baseline"/>
      <w:cs w:val="0"/>
      <w:em w:val="none"/>
    </w:rPr>
  </w:style>
  <w:style w:type="paragraph" w:styleId="BalloonText">
    <w:name w:val="Balloon Text"/>
    <w:basedOn w:val="Normal"/>
    <w:rPr>
      <w:rFonts w:ascii="Tahoma" w:cs="Tahoma" w:hAnsi="Tahoma"/>
      <w:sz w:val="16"/>
      <w:szCs w:val="16"/>
    </w:rPr>
  </w:style>
  <w:style w:type="character" w:styleId="BalloonTextChar" w:customStyle="1">
    <w:name w:val="Balloon Text Char"/>
    <w:rPr>
      <w:rFonts w:ascii="Tahoma" w:cs="Tahoma" w:hAnsi="Tahoma"/>
      <w:w w:val="100"/>
      <w:position w:val="-1"/>
      <w:sz w:val="16"/>
      <w:szCs w:val="16"/>
      <w:effect w:val="none"/>
      <w:vertAlign w:val="baseline"/>
      <w:cs w:val="0"/>
      <w:em w:val="none"/>
    </w:rPr>
  </w:style>
  <w:style w:type="character" w:styleId="Heading6Char" w:customStyle="1">
    <w:name w:val="Heading 6 Char"/>
    <w:rPr>
      <w:rFonts w:ascii="Comic Sans MS" w:hAnsi="Comic Sans MS"/>
      <w:color w:val="0000ff"/>
      <w:w w:val="100"/>
      <w:position w:val="-1"/>
      <w:sz w:val="52"/>
      <w:effect w:val="none"/>
      <w:vertAlign w:val="baseline"/>
      <w:cs w:val="0"/>
      <w:em w:val="none"/>
      <w:lang w:val="en-GB"/>
    </w:rPr>
  </w:style>
  <w:style w:type="table" w:styleId="a" w:customStyle="1">
    <w:basedOn w:val="TableNormal"/>
    <w:tblPr>
      <w:tblStyleRowBandSize w:val="1"/>
      <w:tblStyleColBandSize w:val="1"/>
      <w:tblCellMar>
        <w:top w:w="57.0" w:type="dxa"/>
        <w:bottom w:w="57.0" w:type="dxa"/>
      </w:tblCellMar>
    </w:tblPr>
  </w:style>
  <w:style w:type="table" w:styleId="a0" w:customStyle="1">
    <w:basedOn w:val="TableNormal"/>
    <w:tblPr>
      <w:tblStyleRowBandSize w:val="1"/>
      <w:tblStyleColBandSize w:val="1"/>
    </w:tblPr>
  </w:style>
  <w:style w:type="table" w:styleId="Table1">
    <w:basedOn w:val="TableNormal"/>
    <w:pPr>
      <w:ind w:left="0" w:hanging="1"/>
    </w:pPr>
    <w:rPr>
      <w:vertAlign w:val="baseline"/>
    </w:rPr>
    <w:tblPr>
      <w:tblStyleRowBandSize w:val="1"/>
      <w:tblStyleColBandSize w:val="1"/>
      <w:tblCellMar>
        <w:top w:w="57.0" w:type="dxa"/>
        <w:left w:w="108.0" w:type="dxa"/>
        <w:bottom w:w="57.0" w:type="dxa"/>
        <w:right w:w="108.0" w:type="dxa"/>
      </w:tblCellMar>
    </w:tblPr>
  </w:style>
  <w:style w:type="table" w:styleId="Table2">
    <w:basedOn w:val="TableNormal"/>
    <w:pPr>
      <w:ind w:left="0" w:hanging="1"/>
    </w:pPr>
    <w:rPr>
      <w:vertAlign w:val="baseline"/>
    </w:rPr>
    <w:tblPr>
      <w:tblStyleRowBandSize w:val="1"/>
      <w:tblStyleColBandSize w:val="1"/>
      <w:tblCellMar>
        <w:top w:w="57.0" w:type="dxa"/>
        <w:left w:w="108.0" w:type="dxa"/>
        <w:bottom w:w="57.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pPr>
      <w:ind w:left="0" w:hanging="1"/>
    </w:pPr>
    <w:rPr>
      <w:vertAlign w:val="baseline"/>
    </w:rPr>
    <w:tblPr>
      <w:tblStyleRowBandSize w:val="1"/>
      <w:tblStyleColBandSize w:val="1"/>
      <w:tblCellMar>
        <w:top w:w="57.0" w:type="dxa"/>
        <w:left w:w="108.0" w:type="dxa"/>
        <w:bottom w:w="57.0" w:type="dxa"/>
        <w:right w:w="108.0" w:type="dxa"/>
      </w:tblCellMar>
    </w:tblPr>
  </w:style>
  <w:style w:type="table" w:styleId="Table2">
    <w:basedOn w:val="TableNormal"/>
    <w:pPr>
      <w:ind w:left="0" w:hanging="1"/>
    </w:pPr>
    <w:rPr>
      <w:vertAlign w:val="baseline"/>
    </w:rPr>
    <w:tblPr>
      <w:tblStyleRowBandSize w:val="1"/>
      <w:tblStyleColBandSize w:val="1"/>
      <w:tblCellMar>
        <w:top w:w="57.0" w:type="dxa"/>
        <w:left w:w="108.0" w:type="dxa"/>
        <w:bottom w:w="57.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YZogeZt4ANp4PvtXZrOJkGJeGQ==">CgMxLjA4AHIhMUM4WFhjclh1SnZ5OUhZU2dIZGQ4ajltZV9xOFEzR1hp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2024-04-25T09:21:00Z</dcterms:created>
  <dc:creator>Debbie Pester</dc:creator>
</cp:coreProperties>
</file>