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EF323" w14:textId="77777777" w:rsidR="003B338F" w:rsidRDefault="00000000">
      <w:pPr>
        <w:ind w:left="0" w:hanging="2"/>
        <w:jc w:val="center"/>
        <w:rPr>
          <w:rFonts w:ascii="Bookman Old Style" w:eastAsia="Bookman Old Style" w:hAnsi="Bookman Old Style" w:cs="Bookman Old Style"/>
          <w:color w:val="FF0000"/>
        </w:rPr>
      </w:pPr>
      <w:r>
        <w:rPr>
          <w:rFonts w:ascii="Bookman Old Style" w:eastAsia="Bookman Old Style" w:hAnsi="Bookman Old Style" w:cs="Bookman Old Style"/>
          <w:noProof/>
          <w:color w:val="FF0000"/>
        </w:rPr>
        <w:drawing>
          <wp:inline distT="0" distB="0" distL="114300" distR="114300" wp14:anchorId="6BDFBF8E" wp14:editId="01C49B5B">
            <wp:extent cx="4786630" cy="2108835"/>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786630" cy="2108835"/>
                    </a:xfrm>
                    <a:prstGeom prst="rect">
                      <a:avLst/>
                    </a:prstGeom>
                    <a:ln/>
                  </pic:spPr>
                </pic:pic>
              </a:graphicData>
            </a:graphic>
          </wp:inline>
        </w:drawing>
      </w:r>
    </w:p>
    <w:p w14:paraId="7E023165" w14:textId="77777777" w:rsidR="003B338F" w:rsidRDefault="003B338F">
      <w:pPr>
        <w:ind w:left="0" w:hanging="2"/>
        <w:jc w:val="center"/>
        <w:rPr>
          <w:rFonts w:ascii="Bookman Old Style" w:eastAsia="Bookman Old Style" w:hAnsi="Bookman Old Style" w:cs="Bookman Old Style"/>
          <w:color w:val="FF0000"/>
        </w:rPr>
      </w:pPr>
    </w:p>
    <w:p w14:paraId="352DEBEC" w14:textId="77777777" w:rsidR="003B338F" w:rsidRDefault="003B338F">
      <w:pPr>
        <w:ind w:left="0" w:hanging="2"/>
        <w:jc w:val="center"/>
        <w:rPr>
          <w:rFonts w:ascii="Bookman Old Style" w:eastAsia="Bookman Old Style" w:hAnsi="Bookman Old Style" w:cs="Bookman Old Style"/>
          <w:color w:val="FF0000"/>
        </w:rPr>
      </w:pPr>
    </w:p>
    <w:p w14:paraId="3DC09CDE" w14:textId="77777777" w:rsidR="003B338F" w:rsidRDefault="003B338F">
      <w:pPr>
        <w:ind w:left="0" w:hanging="2"/>
        <w:jc w:val="center"/>
        <w:rPr>
          <w:rFonts w:ascii="Bookman Old Style" w:eastAsia="Bookman Old Style" w:hAnsi="Bookman Old Style" w:cs="Bookman Old Style"/>
          <w:color w:val="FF0000"/>
        </w:rPr>
      </w:pPr>
    </w:p>
    <w:p w14:paraId="214ECC37" w14:textId="77777777" w:rsidR="003B338F" w:rsidRDefault="003B338F">
      <w:pPr>
        <w:ind w:left="0" w:hanging="2"/>
        <w:jc w:val="center"/>
        <w:rPr>
          <w:rFonts w:ascii="Bookman Old Style" w:eastAsia="Bookman Old Style" w:hAnsi="Bookman Old Style" w:cs="Bookman Old Style"/>
          <w:color w:val="FF0000"/>
        </w:rPr>
      </w:pPr>
    </w:p>
    <w:p w14:paraId="66FD0C1B" w14:textId="77777777" w:rsidR="003B338F" w:rsidRDefault="003B338F">
      <w:pPr>
        <w:ind w:left="0" w:hanging="2"/>
        <w:jc w:val="center"/>
        <w:rPr>
          <w:rFonts w:ascii="Bookman Old Style" w:eastAsia="Bookman Old Style" w:hAnsi="Bookman Old Style" w:cs="Bookman Old Style"/>
          <w:color w:val="FF0000"/>
        </w:rPr>
      </w:pPr>
    </w:p>
    <w:p w14:paraId="14C65582" w14:textId="77777777" w:rsidR="003B338F" w:rsidRDefault="003B338F">
      <w:pPr>
        <w:ind w:left="0" w:hanging="2"/>
        <w:jc w:val="center"/>
        <w:rPr>
          <w:rFonts w:ascii="Bookman Old Style" w:eastAsia="Bookman Old Style" w:hAnsi="Bookman Old Style" w:cs="Bookman Old Style"/>
          <w:color w:val="FF0000"/>
        </w:rPr>
      </w:pPr>
    </w:p>
    <w:p w14:paraId="17CB0CB5" w14:textId="77777777" w:rsidR="003B338F" w:rsidRDefault="003B338F">
      <w:pPr>
        <w:ind w:left="0" w:hanging="2"/>
        <w:jc w:val="center"/>
        <w:rPr>
          <w:rFonts w:ascii="Bookman Old Style" w:eastAsia="Bookman Old Style" w:hAnsi="Bookman Old Style" w:cs="Bookman Old Style"/>
          <w:color w:val="FF0000"/>
        </w:rPr>
      </w:pPr>
    </w:p>
    <w:p w14:paraId="63B3433C" w14:textId="77777777" w:rsidR="003B338F" w:rsidRDefault="003B338F">
      <w:pPr>
        <w:pBdr>
          <w:top w:val="nil"/>
          <w:left w:val="nil"/>
          <w:bottom w:val="nil"/>
          <w:right w:val="nil"/>
          <w:between w:val="nil"/>
        </w:pBdr>
        <w:tabs>
          <w:tab w:val="center" w:pos="4153"/>
          <w:tab w:val="right" w:pos="8306"/>
        </w:tabs>
        <w:spacing w:line="240" w:lineRule="auto"/>
        <w:ind w:left="0" w:hanging="2"/>
        <w:jc w:val="center"/>
        <w:rPr>
          <w:rFonts w:ascii="Bookman Old Style" w:eastAsia="Bookman Old Style" w:hAnsi="Bookman Old Style" w:cs="Bookman Old Style"/>
          <w:color w:val="000000"/>
        </w:rPr>
      </w:pPr>
    </w:p>
    <w:p w14:paraId="6F273993" w14:textId="77777777" w:rsidR="003B338F" w:rsidRDefault="003B338F">
      <w:pPr>
        <w:ind w:left="0" w:hanging="2"/>
        <w:rPr>
          <w:rFonts w:ascii="Bookman Old Style" w:eastAsia="Bookman Old Style" w:hAnsi="Bookman Old Style" w:cs="Bookman Old Style"/>
        </w:rPr>
      </w:pPr>
    </w:p>
    <w:p w14:paraId="4ED8A201" w14:textId="77777777" w:rsidR="003B338F" w:rsidRDefault="003B338F">
      <w:pPr>
        <w:ind w:left="0" w:hanging="2"/>
        <w:jc w:val="right"/>
        <w:rPr>
          <w:rFonts w:ascii="Bookman Old Style" w:eastAsia="Bookman Old Style" w:hAnsi="Bookman Old Style" w:cs="Bookman Old Style"/>
        </w:rPr>
      </w:pPr>
    </w:p>
    <w:p w14:paraId="67CBE5E4" w14:textId="77777777" w:rsidR="003B338F" w:rsidRDefault="003B338F">
      <w:pPr>
        <w:ind w:left="0" w:hanging="2"/>
        <w:jc w:val="center"/>
        <w:rPr>
          <w:rFonts w:ascii="Bookman Old Style" w:eastAsia="Bookman Old Style" w:hAnsi="Bookman Old Style" w:cs="Bookman Old Style"/>
        </w:rPr>
      </w:pPr>
    </w:p>
    <w:p w14:paraId="143F3A64" w14:textId="77777777" w:rsidR="003B338F" w:rsidRDefault="003B338F">
      <w:pPr>
        <w:ind w:left="0" w:hanging="2"/>
        <w:rPr>
          <w:rFonts w:ascii="Bookman Old Style" w:eastAsia="Bookman Old Style" w:hAnsi="Bookman Old Style" w:cs="Bookman Old Style"/>
        </w:rPr>
      </w:pPr>
    </w:p>
    <w:p w14:paraId="58AFCAA5" w14:textId="77777777" w:rsidR="003B338F" w:rsidRDefault="003B338F">
      <w:pPr>
        <w:ind w:left="0" w:hanging="2"/>
        <w:rPr>
          <w:rFonts w:ascii="Bookman Old Style" w:eastAsia="Bookman Old Style" w:hAnsi="Bookman Old Style" w:cs="Bookman Old Style"/>
        </w:rPr>
      </w:pPr>
    </w:p>
    <w:p w14:paraId="6AFDFE3F" w14:textId="77777777" w:rsidR="003B338F" w:rsidRDefault="003B338F">
      <w:pPr>
        <w:ind w:left="0" w:hanging="2"/>
        <w:rPr>
          <w:rFonts w:ascii="Bookman Old Style" w:eastAsia="Bookman Old Style" w:hAnsi="Bookman Old Style" w:cs="Bookman Old Style"/>
        </w:rPr>
      </w:pPr>
    </w:p>
    <w:p w14:paraId="2D0F9CB7" w14:textId="77777777" w:rsidR="003B338F" w:rsidRDefault="003B338F">
      <w:pPr>
        <w:ind w:left="0" w:hanging="2"/>
        <w:rPr>
          <w:rFonts w:ascii="Bookman Old Style" w:eastAsia="Bookman Old Style" w:hAnsi="Bookman Old Style" w:cs="Bookman Old Style"/>
        </w:rPr>
      </w:pPr>
    </w:p>
    <w:p w14:paraId="4AFBECA0" w14:textId="77777777" w:rsidR="003B338F" w:rsidRDefault="003B338F">
      <w:pPr>
        <w:ind w:left="0" w:hanging="2"/>
        <w:rPr>
          <w:rFonts w:ascii="Bookman Old Style" w:eastAsia="Bookman Old Style" w:hAnsi="Bookman Old Style" w:cs="Bookman Old Style"/>
        </w:rPr>
      </w:pPr>
    </w:p>
    <w:p w14:paraId="3DB18F4A" w14:textId="77777777" w:rsidR="003B338F" w:rsidRDefault="00000000">
      <w:pPr>
        <w:pStyle w:val="Heading6"/>
        <w:ind w:left="5" w:hanging="7"/>
        <w:jc w:val="center"/>
        <w:rPr>
          <w:rFonts w:ascii="Bookman Old Style" w:eastAsia="Bookman Old Style" w:hAnsi="Bookman Old Style" w:cs="Bookman Old Style"/>
          <w:color w:val="0000FF"/>
          <w:sz w:val="72"/>
          <w:szCs w:val="72"/>
        </w:rPr>
      </w:pPr>
      <w:r>
        <w:rPr>
          <w:rFonts w:ascii="Bookman Old Style" w:eastAsia="Bookman Old Style" w:hAnsi="Bookman Old Style" w:cs="Bookman Old Style"/>
          <w:color w:val="0000FF"/>
          <w:sz w:val="72"/>
          <w:szCs w:val="72"/>
        </w:rPr>
        <w:t>Health &amp; Safety Policy</w:t>
      </w:r>
    </w:p>
    <w:p w14:paraId="5FD2E991" w14:textId="77777777" w:rsidR="003B338F" w:rsidRDefault="003B338F">
      <w:pPr>
        <w:ind w:left="0" w:hanging="2"/>
        <w:rPr>
          <w:rFonts w:ascii="Bookman Old Style" w:eastAsia="Bookman Old Style" w:hAnsi="Bookman Old Style" w:cs="Bookman Old Style"/>
        </w:rPr>
      </w:pPr>
    </w:p>
    <w:p w14:paraId="395737CB" w14:textId="77777777" w:rsidR="003B338F" w:rsidRDefault="003B338F">
      <w:pPr>
        <w:ind w:left="0" w:hanging="2"/>
        <w:rPr>
          <w:rFonts w:ascii="Bookman Old Style" w:eastAsia="Bookman Old Style" w:hAnsi="Bookman Old Style" w:cs="Bookman Old Style"/>
        </w:rPr>
      </w:pPr>
    </w:p>
    <w:p w14:paraId="62043199" w14:textId="77777777" w:rsidR="003B338F" w:rsidRDefault="003B338F">
      <w:pPr>
        <w:ind w:left="0" w:hanging="2"/>
        <w:rPr>
          <w:rFonts w:ascii="Bookman Old Style" w:eastAsia="Bookman Old Style" w:hAnsi="Bookman Old Style" w:cs="Bookman Old Style"/>
        </w:rPr>
      </w:pPr>
    </w:p>
    <w:p w14:paraId="55EFA607" w14:textId="77777777" w:rsidR="003B338F" w:rsidRDefault="003B338F">
      <w:pPr>
        <w:ind w:left="0" w:hanging="2"/>
        <w:rPr>
          <w:rFonts w:ascii="Bookman Old Style" w:eastAsia="Bookman Old Style" w:hAnsi="Bookman Old Style" w:cs="Bookman Old Style"/>
        </w:rPr>
      </w:pPr>
    </w:p>
    <w:p w14:paraId="65C14683" w14:textId="77777777" w:rsidR="003B338F" w:rsidRDefault="003B338F">
      <w:pPr>
        <w:ind w:left="0" w:hanging="2"/>
        <w:rPr>
          <w:rFonts w:ascii="Bookman Old Style" w:eastAsia="Bookman Old Style" w:hAnsi="Bookman Old Style" w:cs="Bookman Old Style"/>
        </w:rPr>
      </w:pPr>
    </w:p>
    <w:p w14:paraId="42BB05FA" w14:textId="77777777" w:rsidR="003B338F" w:rsidRDefault="003B338F">
      <w:pPr>
        <w:ind w:left="0" w:hanging="2"/>
        <w:rPr>
          <w:rFonts w:ascii="Bookman Old Style" w:eastAsia="Bookman Old Style" w:hAnsi="Bookman Old Style" w:cs="Bookman Old Style"/>
        </w:rPr>
      </w:pPr>
    </w:p>
    <w:p w14:paraId="1BE1215D" w14:textId="77777777" w:rsidR="003B338F" w:rsidRDefault="003B338F">
      <w:pPr>
        <w:ind w:left="0" w:hanging="2"/>
        <w:rPr>
          <w:rFonts w:ascii="Bookman Old Style" w:eastAsia="Bookman Old Style" w:hAnsi="Bookman Old Style" w:cs="Bookman Old Style"/>
        </w:rPr>
      </w:pPr>
    </w:p>
    <w:p w14:paraId="26C9A296" w14:textId="77777777" w:rsidR="003B338F" w:rsidRDefault="003B338F">
      <w:pPr>
        <w:ind w:left="0" w:hanging="2"/>
        <w:rPr>
          <w:rFonts w:ascii="Bookman Old Style" w:eastAsia="Bookman Old Style" w:hAnsi="Bookman Old Style" w:cs="Bookman Old Style"/>
        </w:rPr>
      </w:pPr>
    </w:p>
    <w:p w14:paraId="206F1801" w14:textId="77777777" w:rsidR="003B338F" w:rsidRDefault="003B338F">
      <w:pPr>
        <w:ind w:left="0" w:hanging="2"/>
        <w:rPr>
          <w:rFonts w:ascii="Bookman Old Style" w:eastAsia="Bookman Old Style" w:hAnsi="Bookman Old Style" w:cs="Bookman Old Style"/>
        </w:rPr>
      </w:pPr>
    </w:p>
    <w:p w14:paraId="60F8AB17" w14:textId="77777777" w:rsidR="003B338F" w:rsidRDefault="003B338F">
      <w:pPr>
        <w:ind w:left="0" w:hanging="2"/>
        <w:rPr>
          <w:rFonts w:ascii="Bookman Old Style" w:eastAsia="Bookman Old Style" w:hAnsi="Bookman Old Style" w:cs="Bookman Old Style"/>
        </w:rPr>
      </w:pPr>
    </w:p>
    <w:p w14:paraId="3EC86B32" w14:textId="77777777" w:rsidR="003B338F" w:rsidRDefault="003B338F">
      <w:pPr>
        <w:ind w:left="0" w:hanging="2"/>
        <w:rPr>
          <w:rFonts w:ascii="Bookman Old Style" w:eastAsia="Bookman Old Style" w:hAnsi="Bookman Old Style" w:cs="Bookman Old Style"/>
        </w:rPr>
      </w:pPr>
    </w:p>
    <w:p w14:paraId="29C52ED6" w14:textId="77777777" w:rsidR="003B338F" w:rsidRDefault="003B338F">
      <w:pPr>
        <w:ind w:left="0" w:hanging="2"/>
        <w:rPr>
          <w:rFonts w:ascii="Bookman Old Style" w:eastAsia="Bookman Old Style" w:hAnsi="Bookman Old Style" w:cs="Bookman Old Style"/>
        </w:rPr>
      </w:pPr>
    </w:p>
    <w:p w14:paraId="0CA2A123" w14:textId="77777777" w:rsidR="003B338F" w:rsidRDefault="003B338F">
      <w:pPr>
        <w:ind w:left="0" w:hanging="2"/>
        <w:rPr>
          <w:rFonts w:ascii="Bookman Old Style" w:eastAsia="Bookman Old Style" w:hAnsi="Bookman Old Style" w:cs="Bookman Old Style"/>
        </w:rPr>
      </w:pPr>
    </w:p>
    <w:p w14:paraId="560C6393" w14:textId="77777777" w:rsidR="003B338F" w:rsidRDefault="003B338F">
      <w:pPr>
        <w:ind w:left="0" w:hanging="2"/>
        <w:rPr>
          <w:rFonts w:ascii="Bookman Old Style" w:eastAsia="Bookman Old Style" w:hAnsi="Bookman Old Style" w:cs="Bookman Old Style"/>
        </w:rPr>
      </w:pPr>
    </w:p>
    <w:p w14:paraId="3454F085" w14:textId="77777777" w:rsidR="003B338F" w:rsidRDefault="003B338F">
      <w:pPr>
        <w:ind w:left="0" w:hanging="2"/>
        <w:rPr>
          <w:rFonts w:ascii="Bookman Old Style" w:eastAsia="Bookman Old Style" w:hAnsi="Bookman Old Style" w:cs="Bookman Old Style"/>
        </w:rPr>
      </w:pPr>
    </w:p>
    <w:p w14:paraId="399BEA4B" w14:textId="77777777" w:rsidR="003B338F" w:rsidRDefault="003B338F">
      <w:pPr>
        <w:ind w:left="0" w:hanging="2"/>
        <w:rPr>
          <w:rFonts w:ascii="Bookman Old Style" w:eastAsia="Bookman Old Style" w:hAnsi="Bookman Old Style" w:cs="Bookman Old Style"/>
        </w:rPr>
      </w:pPr>
    </w:p>
    <w:p w14:paraId="2D782021" w14:textId="77777777" w:rsidR="003B338F" w:rsidRDefault="003B338F">
      <w:pPr>
        <w:ind w:left="0" w:hanging="2"/>
        <w:rPr>
          <w:rFonts w:ascii="Bookman Old Style" w:eastAsia="Bookman Old Style" w:hAnsi="Bookman Old Style" w:cs="Bookman Old Style"/>
        </w:rPr>
      </w:pPr>
    </w:p>
    <w:tbl>
      <w:tblPr>
        <w:tblStyle w:val="a"/>
        <w:tblW w:w="9441" w:type="dxa"/>
        <w:tblInd w:w="-108" w:type="dxa"/>
        <w:tblBorders>
          <w:top w:val="nil"/>
          <w:left w:val="nil"/>
          <w:bottom w:val="nil"/>
          <w:right w:val="nil"/>
          <w:insideH w:val="single" w:sz="18" w:space="0" w:color="FFFFFF"/>
          <w:insideV w:val="nil"/>
        </w:tblBorders>
        <w:tblLayout w:type="fixed"/>
        <w:tblLook w:val="0000" w:firstRow="0" w:lastRow="0" w:firstColumn="0" w:lastColumn="0" w:noHBand="0" w:noVBand="0"/>
      </w:tblPr>
      <w:tblGrid>
        <w:gridCol w:w="2127"/>
        <w:gridCol w:w="3727"/>
        <w:gridCol w:w="3587"/>
      </w:tblGrid>
      <w:tr w:rsidR="003B338F" w14:paraId="3E4A9837" w14:textId="77777777">
        <w:tc>
          <w:tcPr>
            <w:tcW w:w="2127" w:type="dxa"/>
            <w:shd w:val="clear" w:color="auto" w:fill="D9D9D9"/>
          </w:tcPr>
          <w:p w14:paraId="7475668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Approved by:</w:t>
            </w:r>
          </w:p>
        </w:tc>
        <w:tc>
          <w:tcPr>
            <w:tcW w:w="3727" w:type="dxa"/>
            <w:shd w:val="clear" w:color="auto" w:fill="D9D9D9"/>
          </w:tcPr>
          <w:p w14:paraId="56EA5EDE" w14:textId="77777777" w:rsidR="003B338F" w:rsidRDefault="00000000">
            <w:pPr>
              <w:ind w:left="0" w:hanging="2"/>
              <w:rPr>
                <w:rFonts w:ascii="Bookman Old Style" w:eastAsia="Bookman Old Style" w:hAnsi="Bookman Old Style" w:cs="Bookman Old Style"/>
                <w:color w:val="0000FF"/>
              </w:rPr>
            </w:pPr>
            <w:r>
              <w:rPr>
                <w:rFonts w:ascii="Bookman Old Style" w:eastAsia="Bookman Old Style" w:hAnsi="Bookman Old Style" w:cs="Bookman Old Style"/>
                <w:b/>
                <w:color w:val="0000FF"/>
              </w:rPr>
              <w:t>David Ollier</w:t>
            </w:r>
          </w:p>
        </w:tc>
        <w:tc>
          <w:tcPr>
            <w:tcW w:w="3587" w:type="dxa"/>
            <w:shd w:val="clear" w:color="auto" w:fill="D9D9D9"/>
          </w:tcPr>
          <w:p w14:paraId="78465C29" w14:textId="0CFD7638"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Date:</w:t>
            </w:r>
            <w:r>
              <w:rPr>
                <w:rFonts w:ascii="Bookman Old Style" w:eastAsia="Bookman Old Style" w:hAnsi="Bookman Old Style" w:cs="Bookman Old Style"/>
              </w:rPr>
              <w:t xml:space="preserve">        </w:t>
            </w:r>
            <w:r>
              <w:rPr>
                <w:rFonts w:ascii="Bookman Old Style" w:eastAsia="Bookman Old Style" w:hAnsi="Bookman Old Style" w:cs="Bookman Old Style"/>
                <w:b/>
                <w:color w:val="0000FF"/>
              </w:rPr>
              <w:t>March 202</w:t>
            </w:r>
            <w:r w:rsidR="00F80B35">
              <w:rPr>
                <w:rFonts w:ascii="Bookman Old Style" w:eastAsia="Bookman Old Style" w:hAnsi="Bookman Old Style" w:cs="Bookman Old Style"/>
                <w:b/>
                <w:color w:val="0000FF"/>
              </w:rPr>
              <w:t>3</w:t>
            </w:r>
          </w:p>
        </w:tc>
      </w:tr>
      <w:tr w:rsidR="003B338F" w14:paraId="28773022" w14:textId="77777777">
        <w:tc>
          <w:tcPr>
            <w:tcW w:w="2127" w:type="dxa"/>
            <w:shd w:val="clear" w:color="auto" w:fill="D9D9D9"/>
          </w:tcPr>
          <w:p w14:paraId="4EBE519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Last reviewed on:</w:t>
            </w:r>
          </w:p>
        </w:tc>
        <w:tc>
          <w:tcPr>
            <w:tcW w:w="7314" w:type="dxa"/>
            <w:gridSpan w:val="2"/>
            <w:shd w:val="clear" w:color="auto" w:fill="D9D9D9"/>
          </w:tcPr>
          <w:p w14:paraId="764DF9DB" w14:textId="51F2B612" w:rsidR="003B338F" w:rsidRDefault="0064023C">
            <w:pPr>
              <w:ind w:left="0" w:hanging="2"/>
              <w:rPr>
                <w:rFonts w:ascii="Bookman Old Style" w:eastAsia="Bookman Old Style" w:hAnsi="Bookman Old Style" w:cs="Bookman Old Style"/>
              </w:rPr>
            </w:pPr>
            <w:r>
              <w:rPr>
                <w:rFonts w:ascii="Bookman Old Style" w:eastAsia="Bookman Old Style" w:hAnsi="Bookman Old Style" w:cs="Bookman Old Style"/>
                <w:b/>
                <w:color w:val="0000FF"/>
              </w:rPr>
              <w:t>September 2025</w:t>
            </w:r>
          </w:p>
        </w:tc>
      </w:tr>
      <w:tr w:rsidR="003B338F" w14:paraId="50C2C210" w14:textId="77777777">
        <w:tc>
          <w:tcPr>
            <w:tcW w:w="2127" w:type="dxa"/>
            <w:shd w:val="clear" w:color="auto" w:fill="D9D9D9"/>
          </w:tcPr>
          <w:p w14:paraId="7F7E5FA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Next review due by:</w:t>
            </w:r>
          </w:p>
        </w:tc>
        <w:tc>
          <w:tcPr>
            <w:tcW w:w="7314" w:type="dxa"/>
            <w:gridSpan w:val="2"/>
            <w:shd w:val="clear" w:color="auto" w:fill="D9D9D9"/>
          </w:tcPr>
          <w:p w14:paraId="2E2807DF" w14:textId="11D8F8BE" w:rsidR="003B338F" w:rsidRDefault="0064023C">
            <w:pPr>
              <w:ind w:left="0" w:hanging="2"/>
              <w:rPr>
                <w:rFonts w:ascii="Bookman Old Style" w:eastAsia="Bookman Old Style" w:hAnsi="Bookman Old Style" w:cs="Bookman Old Style"/>
              </w:rPr>
            </w:pPr>
            <w:r>
              <w:rPr>
                <w:rFonts w:ascii="Bookman Old Style" w:eastAsia="Bookman Old Style" w:hAnsi="Bookman Old Style" w:cs="Bookman Old Style"/>
                <w:b/>
                <w:color w:val="0000FF"/>
              </w:rPr>
              <w:t>September 202</w:t>
            </w:r>
            <w:r>
              <w:rPr>
                <w:rFonts w:ascii="Bookman Old Style" w:eastAsia="Bookman Old Style" w:hAnsi="Bookman Old Style" w:cs="Bookman Old Style"/>
                <w:b/>
                <w:color w:val="0000FF"/>
              </w:rPr>
              <w:t>6</w:t>
            </w:r>
          </w:p>
        </w:tc>
      </w:tr>
    </w:tbl>
    <w:p w14:paraId="5A9BC7A9" w14:textId="77777777" w:rsidR="003B338F" w:rsidRDefault="003B338F">
      <w:pPr>
        <w:ind w:left="0" w:hanging="2"/>
        <w:jc w:val="center"/>
        <w:rPr>
          <w:rFonts w:ascii="Bookman Old Style" w:eastAsia="Bookman Old Style" w:hAnsi="Bookman Old Style" w:cs="Bookman Old Style"/>
        </w:rPr>
      </w:pPr>
    </w:p>
    <w:p w14:paraId="25479528" w14:textId="77777777" w:rsidR="003B338F" w:rsidRDefault="003B338F">
      <w:pPr>
        <w:ind w:left="0" w:hanging="2"/>
        <w:jc w:val="both"/>
        <w:rPr>
          <w:rFonts w:ascii="Bookman Old Style" w:eastAsia="Bookman Old Style" w:hAnsi="Bookman Old Style" w:cs="Bookman Old Style"/>
        </w:rPr>
      </w:pPr>
    </w:p>
    <w:p w14:paraId="4631F58D" w14:textId="77777777" w:rsidR="003B338F" w:rsidRDefault="003B338F">
      <w:pPr>
        <w:ind w:left="0" w:hanging="2"/>
        <w:jc w:val="both"/>
        <w:rPr>
          <w:rFonts w:ascii="Bookman Old Style" w:eastAsia="Bookman Old Style" w:hAnsi="Bookman Old Style" w:cs="Bookman Old Style"/>
        </w:rPr>
      </w:pPr>
    </w:p>
    <w:p w14:paraId="05A5E9C8" w14:textId="77777777" w:rsidR="003B338F" w:rsidRDefault="003B338F">
      <w:pPr>
        <w:ind w:left="0" w:hanging="2"/>
        <w:jc w:val="both"/>
        <w:rPr>
          <w:rFonts w:ascii="Bookman Old Style" w:eastAsia="Bookman Old Style" w:hAnsi="Bookman Old Style" w:cs="Bookman Old Style"/>
        </w:rPr>
      </w:pPr>
    </w:p>
    <w:p w14:paraId="4906630A" w14:textId="77777777" w:rsidR="003B338F" w:rsidRDefault="003B338F">
      <w:pPr>
        <w:ind w:left="0" w:hanging="2"/>
        <w:jc w:val="both"/>
        <w:rPr>
          <w:rFonts w:ascii="Bookman Old Style" w:eastAsia="Bookman Old Style" w:hAnsi="Bookman Old Style" w:cs="Bookman Old Style"/>
        </w:rPr>
      </w:pPr>
    </w:p>
    <w:p w14:paraId="1512581E" w14:textId="77777777" w:rsidR="003B338F" w:rsidRDefault="003B338F">
      <w:pPr>
        <w:ind w:left="0" w:hanging="2"/>
        <w:jc w:val="both"/>
        <w:rPr>
          <w:rFonts w:ascii="Bookman Old Style" w:eastAsia="Bookman Old Style" w:hAnsi="Bookman Old Style" w:cs="Bookman Old Style"/>
        </w:rPr>
      </w:pPr>
    </w:p>
    <w:p w14:paraId="7BCB366F" w14:textId="77777777" w:rsidR="003B338F" w:rsidRDefault="003B338F">
      <w:pPr>
        <w:ind w:left="0" w:hanging="2"/>
        <w:jc w:val="both"/>
        <w:rPr>
          <w:rFonts w:ascii="Bookman Old Style" w:eastAsia="Bookman Old Style" w:hAnsi="Bookman Old Style" w:cs="Bookman Old Style"/>
        </w:rPr>
      </w:pPr>
    </w:p>
    <w:p w14:paraId="3DF441BA" w14:textId="77777777" w:rsidR="003B338F" w:rsidRDefault="003B338F">
      <w:pPr>
        <w:ind w:left="0" w:hanging="2"/>
        <w:jc w:val="both"/>
        <w:rPr>
          <w:rFonts w:ascii="Bookman Old Style" w:eastAsia="Bookman Old Style" w:hAnsi="Bookman Old Style" w:cs="Bookman Old Style"/>
        </w:rPr>
      </w:pPr>
    </w:p>
    <w:p w14:paraId="5E8A4AB8" w14:textId="77777777" w:rsidR="003B338F" w:rsidRDefault="003B338F">
      <w:pPr>
        <w:ind w:left="0" w:hanging="2"/>
        <w:jc w:val="both"/>
        <w:rPr>
          <w:rFonts w:ascii="Bookman Old Style" w:eastAsia="Bookman Old Style" w:hAnsi="Bookman Old Style" w:cs="Bookman Old Style"/>
        </w:rPr>
      </w:pPr>
    </w:p>
    <w:p w14:paraId="7A615FFD" w14:textId="77777777" w:rsidR="003B338F" w:rsidRDefault="003B338F">
      <w:pPr>
        <w:ind w:left="0" w:hanging="2"/>
        <w:jc w:val="both"/>
        <w:rPr>
          <w:rFonts w:ascii="Bookman Old Style" w:eastAsia="Bookman Old Style" w:hAnsi="Bookman Old Style" w:cs="Bookman Old Style"/>
        </w:rPr>
      </w:pPr>
    </w:p>
    <w:p w14:paraId="04AC6360" w14:textId="77777777" w:rsidR="003B338F" w:rsidRDefault="003B338F">
      <w:pPr>
        <w:ind w:left="0" w:hanging="2"/>
        <w:jc w:val="both"/>
        <w:rPr>
          <w:rFonts w:ascii="Bookman Old Style" w:eastAsia="Bookman Old Style" w:hAnsi="Bookman Old Style" w:cs="Bookman Old Style"/>
        </w:rPr>
      </w:pPr>
    </w:p>
    <w:p w14:paraId="646D1418" w14:textId="77777777" w:rsidR="003B338F" w:rsidRDefault="00000000">
      <w:pPr>
        <w:ind w:left="1" w:hanging="3"/>
        <w:rPr>
          <w:rFonts w:ascii="Bookman Old Style" w:eastAsia="Bookman Old Style" w:hAnsi="Bookman Old Style" w:cs="Bookman Old Style"/>
          <w:color w:val="0000FF"/>
          <w:sz w:val="28"/>
          <w:szCs w:val="28"/>
        </w:rPr>
      </w:pPr>
      <w:r>
        <w:rPr>
          <w:rFonts w:ascii="Bookman Old Style" w:eastAsia="Bookman Old Style" w:hAnsi="Bookman Old Style" w:cs="Bookman Old Style"/>
          <w:b/>
          <w:color w:val="0000FF"/>
          <w:sz w:val="28"/>
          <w:szCs w:val="28"/>
        </w:rPr>
        <w:t>Contents</w:t>
      </w:r>
    </w:p>
    <w:p w14:paraId="47A8BBBA" w14:textId="77777777" w:rsidR="003B338F" w:rsidRDefault="003B338F">
      <w:pPr>
        <w:ind w:left="1" w:hanging="3"/>
        <w:rPr>
          <w:rFonts w:ascii="Bookman Old Style" w:eastAsia="Bookman Old Style" w:hAnsi="Bookman Old Style" w:cs="Bookman Old Style"/>
          <w:sz w:val="28"/>
          <w:szCs w:val="28"/>
        </w:rPr>
      </w:pPr>
    </w:p>
    <w:p w14:paraId="2F36B4B3" w14:textId="77777777" w:rsidR="003B338F" w:rsidRDefault="003B338F">
      <w:pPr>
        <w:ind w:left="1" w:hanging="3"/>
        <w:rPr>
          <w:rFonts w:ascii="Bookman Old Style" w:eastAsia="Bookman Old Style" w:hAnsi="Bookman Old Style" w:cs="Bookman Old Style"/>
          <w:sz w:val="28"/>
          <w:szCs w:val="28"/>
        </w:rPr>
      </w:pPr>
    </w:p>
    <w:sdt>
      <w:sdtPr>
        <w:id w:val="-1465033283"/>
        <w:docPartObj>
          <w:docPartGallery w:val="Table of Contents"/>
          <w:docPartUnique/>
        </w:docPartObj>
      </w:sdtPr>
      <w:sdtContent>
        <w:p w14:paraId="60BF009B"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fldChar w:fldCharType="begin"/>
          </w:r>
          <w:r>
            <w:instrText xml:space="preserve"> TOC \h \u \z </w:instrText>
          </w:r>
          <w:r>
            <w:fldChar w:fldCharType="separate"/>
          </w:r>
          <w:r>
            <w:rPr>
              <w:rFonts w:ascii="Bookman Old Style" w:eastAsia="Bookman Old Style" w:hAnsi="Bookman Old Style" w:cs="Bookman Old Style"/>
              <w:color w:val="000000"/>
            </w:rPr>
            <w:t>1. Aims</w:t>
          </w:r>
          <w:r>
            <w:rPr>
              <w:rFonts w:ascii="Bookman Old Style" w:eastAsia="Bookman Old Style" w:hAnsi="Bookman Old Style" w:cs="Bookman Old Style"/>
              <w:color w:val="000000"/>
            </w:rPr>
            <w:tab/>
          </w:r>
          <w:r>
            <w:fldChar w:fldCharType="begin"/>
          </w:r>
          <w:r>
            <w:instrText xml:space="preserve"> PAGEREF _heading=h.gjdgxs \h </w:instrText>
          </w:r>
          <w:r>
            <w:fldChar w:fldCharType="separate"/>
          </w:r>
          <w:r>
            <w:rPr>
              <w:rFonts w:ascii="Bookman Old Style" w:eastAsia="Bookman Old Style" w:hAnsi="Bookman Old Style" w:cs="Bookman Old Style"/>
              <w:color w:val="000000"/>
            </w:rPr>
            <w:t>4</w:t>
          </w:r>
          <w:r>
            <w:fldChar w:fldCharType="end"/>
          </w:r>
        </w:p>
        <w:p w14:paraId="1A872263"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2. Legislation</w:t>
          </w:r>
          <w:r>
            <w:rPr>
              <w:rFonts w:ascii="Bookman Old Style" w:eastAsia="Bookman Old Style" w:hAnsi="Bookman Old Style" w:cs="Bookman Old Style"/>
              <w:color w:val="000000"/>
            </w:rPr>
            <w:tab/>
          </w:r>
          <w:r>
            <w:fldChar w:fldCharType="begin"/>
          </w:r>
          <w:r>
            <w:instrText xml:space="preserve"> PAGEREF _heading=h.30j0zll \h </w:instrText>
          </w:r>
          <w:r>
            <w:fldChar w:fldCharType="separate"/>
          </w:r>
          <w:r>
            <w:rPr>
              <w:rFonts w:ascii="Bookman Old Style" w:eastAsia="Bookman Old Style" w:hAnsi="Bookman Old Style" w:cs="Bookman Old Style"/>
              <w:color w:val="000000"/>
            </w:rPr>
            <w:t>4</w:t>
          </w:r>
          <w:r>
            <w:fldChar w:fldCharType="end"/>
          </w:r>
        </w:p>
        <w:p w14:paraId="4D3EEEE7"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3. Roles and responsibilities</w:t>
          </w:r>
          <w:r>
            <w:rPr>
              <w:rFonts w:ascii="Bookman Old Style" w:eastAsia="Bookman Old Style" w:hAnsi="Bookman Old Style" w:cs="Bookman Old Style"/>
              <w:color w:val="000000"/>
            </w:rPr>
            <w:tab/>
          </w:r>
          <w:r>
            <w:fldChar w:fldCharType="begin"/>
          </w:r>
          <w:r>
            <w:instrText xml:space="preserve"> PAGEREF _heading=h.lnxbz9 \h </w:instrText>
          </w:r>
          <w:r>
            <w:fldChar w:fldCharType="separate"/>
          </w:r>
          <w:r>
            <w:rPr>
              <w:rFonts w:ascii="Bookman Old Style" w:eastAsia="Bookman Old Style" w:hAnsi="Bookman Old Style" w:cs="Bookman Old Style"/>
              <w:color w:val="000000"/>
            </w:rPr>
            <w:t>4</w:t>
          </w:r>
          <w:r>
            <w:fldChar w:fldCharType="end"/>
          </w:r>
        </w:p>
        <w:p w14:paraId="026003F1"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4. Site security</w:t>
          </w:r>
          <w:r>
            <w:rPr>
              <w:rFonts w:ascii="Bookman Old Style" w:eastAsia="Bookman Old Style" w:hAnsi="Bookman Old Style" w:cs="Bookman Old Style"/>
              <w:color w:val="000000"/>
            </w:rPr>
            <w:tab/>
          </w:r>
          <w:r>
            <w:fldChar w:fldCharType="begin"/>
          </w:r>
          <w:r>
            <w:instrText xml:space="preserve"> PAGEREF _heading=h.35nkun2 \h </w:instrText>
          </w:r>
          <w:r>
            <w:fldChar w:fldCharType="separate"/>
          </w:r>
          <w:r>
            <w:rPr>
              <w:rFonts w:ascii="Bookman Old Style" w:eastAsia="Bookman Old Style" w:hAnsi="Bookman Old Style" w:cs="Bookman Old Style"/>
              <w:color w:val="000000"/>
            </w:rPr>
            <w:t>6</w:t>
          </w:r>
          <w:r>
            <w:fldChar w:fldCharType="end"/>
          </w:r>
        </w:p>
        <w:p w14:paraId="3883D6DE"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 xml:space="preserve">5. Siging in and out </w:t>
          </w:r>
          <w:r>
            <w:rPr>
              <w:rFonts w:ascii="Bookman Old Style" w:eastAsia="Bookman Old Style" w:hAnsi="Bookman Old Style" w:cs="Bookman Old Style"/>
              <w:color w:val="000000"/>
            </w:rPr>
            <w:tab/>
          </w:r>
          <w:r>
            <w:fldChar w:fldCharType="begin"/>
          </w:r>
          <w:r>
            <w:instrText xml:space="preserve"> PAGEREF _heading=h.1ksv4uv \h </w:instrText>
          </w:r>
          <w:r>
            <w:fldChar w:fldCharType="separate"/>
          </w:r>
          <w:r>
            <w:rPr>
              <w:rFonts w:ascii="Bookman Old Style" w:eastAsia="Bookman Old Style" w:hAnsi="Bookman Old Style" w:cs="Bookman Old Style"/>
              <w:color w:val="000000"/>
            </w:rPr>
            <w:t>6</w:t>
          </w:r>
          <w:r>
            <w:fldChar w:fldCharType="end"/>
          </w:r>
        </w:p>
        <w:p w14:paraId="34D6E3D5"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6. Fire</w:t>
          </w:r>
          <w:r>
            <w:rPr>
              <w:rFonts w:ascii="Bookman Old Style" w:eastAsia="Bookman Old Style" w:hAnsi="Bookman Old Style" w:cs="Bookman Old Style"/>
              <w:color w:val="000000"/>
            </w:rPr>
            <w:tab/>
          </w:r>
          <w:r>
            <w:fldChar w:fldCharType="begin"/>
          </w:r>
          <w:r>
            <w:instrText xml:space="preserve"> PAGEREF _heading=h.1ksv4uv \h </w:instrText>
          </w:r>
          <w:r>
            <w:fldChar w:fldCharType="separate"/>
          </w:r>
          <w:r>
            <w:rPr>
              <w:rFonts w:ascii="Bookman Old Style" w:eastAsia="Bookman Old Style" w:hAnsi="Bookman Old Style" w:cs="Bookman Old Style"/>
              <w:color w:val="000000"/>
            </w:rPr>
            <w:t>6</w:t>
          </w:r>
          <w:r>
            <w:fldChar w:fldCharType="end"/>
          </w:r>
        </w:p>
        <w:p w14:paraId="32EF436A"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7. COSHH</w:t>
          </w:r>
          <w:r>
            <w:rPr>
              <w:rFonts w:ascii="Bookman Old Style" w:eastAsia="Bookman Old Style" w:hAnsi="Bookman Old Style" w:cs="Bookman Old Style"/>
              <w:color w:val="000000"/>
            </w:rPr>
            <w:tab/>
          </w:r>
          <w:r>
            <w:fldChar w:fldCharType="begin"/>
          </w:r>
          <w:r>
            <w:instrText xml:space="preserve"> PAGEREF _heading=h.44sinio \h </w:instrText>
          </w:r>
          <w:r>
            <w:fldChar w:fldCharType="separate"/>
          </w:r>
          <w:r>
            <w:rPr>
              <w:rFonts w:ascii="Bookman Old Style" w:eastAsia="Bookman Old Style" w:hAnsi="Bookman Old Style" w:cs="Bookman Old Style"/>
              <w:color w:val="000000"/>
            </w:rPr>
            <w:t>7</w:t>
          </w:r>
          <w:r>
            <w:fldChar w:fldCharType="end"/>
          </w:r>
        </w:p>
        <w:p w14:paraId="1FF9F59A"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8. Equipment</w:t>
          </w:r>
          <w:r>
            <w:rPr>
              <w:rFonts w:ascii="Bookman Old Style" w:eastAsia="Bookman Old Style" w:hAnsi="Bookman Old Style" w:cs="Bookman Old Style"/>
              <w:color w:val="000000"/>
            </w:rPr>
            <w:tab/>
          </w:r>
          <w:r>
            <w:fldChar w:fldCharType="begin"/>
          </w:r>
          <w:r>
            <w:instrText xml:space="preserve"> PAGEREF _heading=h.2jxsxqh \h </w:instrText>
          </w:r>
          <w:r>
            <w:fldChar w:fldCharType="separate"/>
          </w:r>
          <w:r>
            <w:rPr>
              <w:rFonts w:ascii="Bookman Old Style" w:eastAsia="Bookman Old Style" w:hAnsi="Bookman Old Style" w:cs="Bookman Old Style"/>
              <w:color w:val="000000"/>
            </w:rPr>
            <w:t>8</w:t>
          </w:r>
          <w:r>
            <w:fldChar w:fldCharType="end"/>
          </w:r>
        </w:p>
        <w:p w14:paraId="534FE258"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9. Lone working</w:t>
          </w:r>
          <w:r>
            <w:rPr>
              <w:rFonts w:ascii="Bookman Old Style" w:eastAsia="Bookman Old Style" w:hAnsi="Bookman Old Style" w:cs="Bookman Old Style"/>
              <w:color w:val="000000"/>
            </w:rPr>
            <w:tab/>
          </w:r>
          <w:r>
            <w:fldChar w:fldCharType="begin"/>
          </w:r>
          <w:r>
            <w:instrText xml:space="preserve"> PAGEREF _heading=h.z337ya \h </w:instrText>
          </w:r>
          <w:r>
            <w:fldChar w:fldCharType="separate"/>
          </w:r>
          <w:r>
            <w:rPr>
              <w:rFonts w:ascii="Bookman Old Style" w:eastAsia="Bookman Old Style" w:hAnsi="Bookman Old Style" w:cs="Bookman Old Style"/>
              <w:color w:val="000000"/>
            </w:rPr>
            <w:t>9</w:t>
          </w:r>
          <w:r>
            <w:fldChar w:fldCharType="end"/>
          </w:r>
        </w:p>
        <w:p w14:paraId="3AAB3C29"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10. Working at height</w:t>
          </w:r>
          <w:r>
            <w:rPr>
              <w:rFonts w:ascii="Bookman Old Style" w:eastAsia="Bookman Old Style" w:hAnsi="Bookman Old Style" w:cs="Bookman Old Style"/>
              <w:color w:val="000000"/>
            </w:rPr>
            <w:tab/>
          </w:r>
          <w:r>
            <w:fldChar w:fldCharType="begin"/>
          </w:r>
          <w:r>
            <w:instrText xml:space="preserve"> PAGEREF _heading=h.3j2qqm3 \h </w:instrText>
          </w:r>
          <w:r>
            <w:fldChar w:fldCharType="separate"/>
          </w:r>
          <w:r>
            <w:rPr>
              <w:rFonts w:ascii="Bookman Old Style" w:eastAsia="Bookman Old Style" w:hAnsi="Bookman Old Style" w:cs="Bookman Old Style"/>
              <w:color w:val="000000"/>
            </w:rPr>
            <w:t>9</w:t>
          </w:r>
          <w:r>
            <w:fldChar w:fldCharType="end"/>
          </w:r>
        </w:p>
        <w:p w14:paraId="562FC3D7"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11. Manual handling</w:t>
          </w:r>
          <w:r>
            <w:rPr>
              <w:rFonts w:ascii="Bookman Old Style" w:eastAsia="Bookman Old Style" w:hAnsi="Bookman Old Style" w:cs="Bookman Old Style"/>
              <w:color w:val="000000"/>
            </w:rPr>
            <w:tab/>
          </w:r>
          <w:r>
            <w:fldChar w:fldCharType="begin"/>
          </w:r>
          <w:r>
            <w:instrText xml:space="preserve"> PAGEREF _heading=h.1y810tw \h </w:instrText>
          </w:r>
          <w:r>
            <w:fldChar w:fldCharType="separate"/>
          </w:r>
          <w:r>
            <w:rPr>
              <w:rFonts w:ascii="Bookman Old Style" w:eastAsia="Bookman Old Style" w:hAnsi="Bookman Old Style" w:cs="Bookman Old Style"/>
              <w:color w:val="000000"/>
            </w:rPr>
            <w:t>10</w:t>
          </w:r>
          <w:r>
            <w:fldChar w:fldCharType="end"/>
          </w:r>
        </w:p>
        <w:p w14:paraId="0178EBDF"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12. Off-site visits</w:t>
          </w:r>
          <w:r>
            <w:rPr>
              <w:rFonts w:ascii="Bookman Old Style" w:eastAsia="Bookman Old Style" w:hAnsi="Bookman Old Style" w:cs="Bookman Old Style"/>
              <w:color w:val="000000"/>
            </w:rPr>
            <w:tab/>
          </w:r>
          <w:r>
            <w:fldChar w:fldCharType="begin"/>
          </w:r>
          <w:r>
            <w:instrText xml:space="preserve"> PAGEREF _heading=h.4i7ojhp \h </w:instrText>
          </w:r>
          <w:r>
            <w:fldChar w:fldCharType="separate"/>
          </w:r>
          <w:r>
            <w:rPr>
              <w:rFonts w:ascii="Bookman Old Style" w:eastAsia="Bookman Old Style" w:hAnsi="Bookman Old Style" w:cs="Bookman Old Style"/>
              <w:color w:val="000000"/>
            </w:rPr>
            <w:t>10</w:t>
          </w:r>
          <w:r>
            <w:fldChar w:fldCharType="end"/>
          </w:r>
        </w:p>
        <w:p w14:paraId="16FD788C"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13. Violence at work</w:t>
          </w:r>
          <w:r>
            <w:rPr>
              <w:rFonts w:ascii="Bookman Old Style" w:eastAsia="Bookman Old Style" w:hAnsi="Bookman Old Style" w:cs="Bookman Old Style"/>
              <w:color w:val="000000"/>
            </w:rPr>
            <w:tab/>
          </w:r>
          <w:r>
            <w:fldChar w:fldCharType="begin"/>
          </w:r>
          <w:r>
            <w:instrText xml:space="preserve"> PAGEREF _heading=h.2xcytpi \h </w:instrText>
          </w:r>
          <w:r>
            <w:fldChar w:fldCharType="separate"/>
          </w:r>
          <w:r>
            <w:rPr>
              <w:rFonts w:ascii="Bookman Old Style" w:eastAsia="Bookman Old Style" w:hAnsi="Bookman Old Style" w:cs="Bookman Old Style"/>
              <w:color w:val="000000"/>
            </w:rPr>
            <w:t>10</w:t>
          </w:r>
          <w:r>
            <w:fldChar w:fldCharType="end"/>
          </w:r>
        </w:p>
        <w:p w14:paraId="15063E9F"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14. Smoking</w:t>
          </w:r>
          <w:r>
            <w:rPr>
              <w:rFonts w:ascii="Bookman Old Style" w:eastAsia="Bookman Old Style" w:hAnsi="Bookman Old Style" w:cs="Bookman Old Style"/>
              <w:color w:val="000000"/>
            </w:rPr>
            <w:tab/>
            <w:t>9</w:t>
          </w:r>
        </w:p>
        <w:p w14:paraId="2B9D1BBD"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15. Infection prevention and control</w:t>
          </w:r>
          <w:r>
            <w:rPr>
              <w:rFonts w:ascii="Bookman Old Style" w:eastAsia="Bookman Old Style" w:hAnsi="Bookman Old Style" w:cs="Bookman Old Style"/>
              <w:color w:val="000000"/>
            </w:rPr>
            <w:tab/>
          </w:r>
          <w:r>
            <w:fldChar w:fldCharType="begin"/>
          </w:r>
          <w:r>
            <w:instrText xml:space="preserve"> PAGEREF _heading=h.1ci93xb \h </w:instrText>
          </w:r>
          <w:r>
            <w:fldChar w:fldCharType="separate"/>
          </w:r>
          <w:r>
            <w:rPr>
              <w:rFonts w:ascii="Bookman Old Style" w:eastAsia="Bookman Old Style" w:hAnsi="Bookman Old Style" w:cs="Bookman Old Style"/>
              <w:color w:val="000000"/>
            </w:rPr>
            <w:t>11</w:t>
          </w:r>
          <w:r>
            <w:fldChar w:fldCharType="end"/>
          </w:r>
        </w:p>
        <w:p w14:paraId="453DE5CF"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16. New and expectant mothers</w:t>
          </w:r>
          <w:r>
            <w:rPr>
              <w:rFonts w:ascii="Bookman Old Style" w:eastAsia="Bookman Old Style" w:hAnsi="Bookman Old Style" w:cs="Bookman Old Style"/>
              <w:color w:val="000000"/>
            </w:rPr>
            <w:tab/>
          </w:r>
          <w:r>
            <w:fldChar w:fldCharType="begin"/>
          </w:r>
          <w:r>
            <w:instrText xml:space="preserve"> PAGEREF _heading=h.3whwml4 \h </w:instrText>
          </w:r>
          <w:r>
            <w:fldChar w:fldCharType="separate"/>
          </w:r>
          <w:r>
            <w:rPr>
              <w:rFonts w:ascii="Bookman Old Style" w:eastAsia="Bookman Old Style" w:hAnsi="Bookman Old Style" w:cs="Bookman Old Style"/>
              <w:color w:val="000000"/>
            </w:rPr>
            <w:t>12</w:t>
          </w:r>
          <w:r>
            <w:fldChar w:fldCharType="end"/>
          </w:r>
        </w:p>
        <w:p w14:paraId="72A6049C"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17. Occupational stress</w:t>
          </w:r>
          <w:r>
            <w:rPr>
              <w:rFonts w:ascii="Bookman Old Style" w:eastAsia="Bookman Old Style" w:hAnsi="Bookman Old Style" w:cs="Bookman Old Style"/>
              <w:color w:val="000000"/>
            </w:rPr>
            <w:tab/>
          </w:r>
          <w:r>
            <w:fldChar w:fldCharType="begin"/>
          </w:r>
          <w:r>
            <w:instrText xml:space="preserve"> PAGEREF _heading=h.2bn6wsx \h </w:instrText>
          </w:r>
          <w:r>
            <w:fldChar w:fldCharType="separate"/>
          </w:r>
          <w:r>
            <w:rPr>
              <w:rFonts w:ascii="Bookman Old Style" w:eastAsia="Bookman Old Style" w:hAnsi="Bookman Old Style" w:cs="Bookman Old Style"/>
              <w:color w:val="000000"/>
            </w:rPr>
            <w:t>12</w:t>
          </w:r>
          <w:r>
            <w:fldChar w:fldCharType="end"/>
          </w:r>
        </w:p>
        <w:p w14:paraId="660BC510"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18. Accident reporting</w:t>
          </w:r>
          <w:r>
            <w:rPr>
              <w:rFonts w:ascii="Bookman Old Style" w:eastAsia="Bookman Old Style" w:hAnsi="Bookman Old Style" w:cs="Bookman Old Style"/>
              <w:color w:val="000000"/>
            </w:rPr>
            <w:tab/>
          </w:r>
          <w:r>
            <w:fldChar w:fldCharType="begin"/>
          </w:r>
          <w:r>
            <w:instrText xml:space="preserve"> PAGEREF _heading=h.qsh70q \h </w:instrText>
          </w:r>
          <w:r>
            <w:fldChar w:fldCharType="separate"/>
          </w:r>
          <w:r>
            <w:rPr>
              <w:rFonts w:ascii="Bookman Old Style" w:eastAsia="Bookman Old Style" w:hAnsi="Bookman Old Style" w:cs="Bookman Old Style"/>
              <w:color w:val="000000"/>
            </w:rPr>
            <w:t>12</w:t>
          </w:r>
          <w:r>
            <w:fldChar w:fldCharType="end"/>
          </w:r>
        </w:p>
        <w:p w14:paraId="6C93E255"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19. Training</w:t>
          </w:r>
          <w:r>
            <w:rPr>
              <w:rFonts w:ascii="Bookman Old Style" w:eastAsia="Bookman Old Style" w:hAnsi="Bookman Old Style" w:cs="Bookman Old Style"/>
              <w:color w:val="000000"/>
            </w:rPr>
            <w:tab/>
          </w:r>
          <w:r>
            <w:fldChar w:fldCharType="begin"/>
          </w:r>
          <w:r>
            <w:instrText xml:space="preserve"> PAGEREF _heading=h.1pxezwc \h </w:instrText>
          </w:r>
          <w:r>
            <w:fldChar w:fldCharType="separate"/>
          </w:r>
          <w:r>
            <w:rPr>
              <w:rFonts w:ascii="Bookman Old Style" w:eastAsia="Bookman Old Style" w:hAnsi="Bookman Old Style" w:cs="Bookman Old Style"/>
              <w:color w:val="000000"/>
            </w:rPr>
            <w:t>14</w:t>
          </w:r>
          <w:r>
            <w:fldChar w:fldCharType="end"/>
          </w:r>
        </w:p>
        <w:p w14:paraId="005EC9D3"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20. Monitoring</w:t>
          </w:r>
          <w:r>
            <w:rPr>
              <w:rFonts w:ascii="Bookman Old Style" w:eastAsia="Bookman Old Style" w:hAnsi="Bookman Old Style" w:cs="Bookman Old Style"/>
              <w:color w:val="000000"/>
            </w:rPr>
            <w:tab/>
          </w:r>
          <w:r>
            <w:fldChar w:fldCharType="begin"/>
          </w:r>
          <w:r>
            <w:instrText xml:space="preserve"> PAGEREF _heading=h.49x2ik5 \h </w:instrText>
          </w:r>
          <w:r>
            <w:fldChar w:fldCharType="separate"/>
          </w:r>
          <w:r>
            <w:rPr>
              <w:rFonts w:ascii="Bookman Old Style" w:eastAsia="Bookman Old Style" w:hAnsi="Bookman Old Style" w:cs="Bookman Old Style"/>
              <w:color w:val="000000"/>
            </w:rPr>
            <w:t>14</w:t>
          </w:r>
          <w:r>
            <w:fldChar w:fldCharType="end"/>
          </w:r>
        </w:p>
        <w:p w14:paraId="4F714957"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21. Links with other policies</w:t>
          </w:r>
          <w:r>
            <w:rPr>
              <w:rFonts w:ascii="Bookman Old Style" w:eastAsia="Bookman Old Style" w:hAnsi="Bookman Old Style" w:cs="Bookman Old Style"/>
              <w:color w:val="000000"/>
            </w:rPr>
            <w:tab/>
          </w:r>
          <w:r>
            <w:fldChar w:fldCharType="begin"/>
          </w:r>
          <w:r>
            <w:instrText xml:space="preserve"> PAGEREF _heading=h.2p2csry \h </w:instrText>
          </w:r>
          <w:r>
            <w:fldChar w:fldCharType="separate"/>
          </w:r>
          <w:r>
            <w:rPr>
              <w:rFonts w:ascii="Bookman Old Style" w:eastAsia="Bookman Old Style" w:hAnsi="Bookman Old Style" w:cs="Bookman Old Style"/>
              <w:color w:val="000000"/>
            </w:rPr>
            <w:t>14</w:t>
          </w:r>
          <w:r>
            <w:fldChar w:fldCharType="end"/>
          </w:r>
        </w:p>
        <w:p w14:paraId="48177675"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Appendix 1. Fire safety checklist</w:t>
          </w:r>
          <w:r>
            <w:rPr>
              <w:rFonts w:ascii="Bookman Old Style" w:eastAsia="Bookman Old Style" w:hAnsi="Bookman Old Style" w:cs="Bookman Old Style"/>
              <w:color w:val="000000"/>
            </w:rPr>
            <w:tab/>
          </w:r>
          <w:r>
            <w:fldChar w:fldCharType="begin"/>
          </w:r>
          <w:r>
            <w:instrText xml:space="preserve"> PAGEREF _heading=h.147n2zr \h </w:instrText>
          </w:r>
          <w:r>
            <w:fldChar w:fldCharType="separate"/>
          </w:r>
          <w:r>
            <w:rPr>
              <w:rFonts w:ascii="Bookman Old Style" w:eastAsia="Bookman Old Style" w:hAnsi="Bookman Old Style" w:cs="Bookman Old Style"/>
              <w:color w:val="000000"/>
            </w:rPr>
            <w:t>15</w:t>
          </w:r>
          <w:r>
            <w:fldChar w:fldCharType="end"/>
          </w:r>
        </w:p>
        <w:p w14:paraId="4728454A"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Appendix 2. Accident report</w:t>
          </w:r>
          <w:r>
            <w:rPr>
              <w:rFonts w:ascii="Bookman Old Style" w:eastAsia="Bookman Old Style" w:hAnsi="Bookman Old Style" w:cs="Bookman Old Style"/>
              <w:color w:val="000000"/>
            </w:rPr>
            <w:tab/>
          </w:r>
          <w:r>
            <w:fldChar w:fldCharType="begin"/>
          </w:r>
          <w:r>
            <w:instrText xml:space="preserve"> PAGEREF _heading=h.3o7alnk \h </w:instrText>
          </w:r>
          <w:r>
            <w:fldChar w:fldCharType="separate"/>
          </w:r>
          <w:r>
            <w:rPr>
              <w:rFonts w:ascii="Bookman Old Style" w:eastAsia="Bookman Old Style" w:hAnsi="Bookman Old Style" w:cs="Bookman Old Style"/>
              <w:color w:val="000000"/>
            </w:rPr>
            <w:t>16</w:t>
          </w:r>
          <w:r>
            <w:fldChar w:fldCharType="end"/>
          </w:r>
        </w:p>
        <w:p w14:paraId="6EF6F91A"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Appendix 3. Asbestos record</w:t>
          </w:r>
          <w:r>
            <w:rPr>
              <w:rFonts w:ascii="Bookman Old Style" w:eastAsia="Bookman Old Style" w:hAnsi="Bookman Old Style" w:cs="Bookman Old Style"/>
              <w:color w:val="000000"/>
            </w:rPr>
            <w:tab/>
          </w:r>
          <w:r>
            <w:fldChar w:fldCharType="begin"/>
          </w:r>
          <w:r>
            <w:instrText xml:space="preserve"> PAGEREF _heading=h.23ckvvd \h </w:instrText>
          </w:r>
          <w:r>
            <w:fldChar w:fldCharType="separate"/>
          </w:r>
          <w:r>
            <w:rPr>
              <w:rFonts w:ascii="Bookman Old Style" w:eastAsia="Bookman Old Style" w:hAnsi="Bookman Old Style" w:cs="Bookman Old Style"/>
              <w:color w:val="000000"/>
            </w:rPr>
            <w:t>17</w:t>
          </w:r>
          <w:r>
            <w:fldChar w:fldCharType="end"/>
          </w:r>
        </w:p>
        <w:p w14:paraId="13BF56C1" w14:textId="77777777" w:rsidR="003B338F" w:rsidRDefault="00000000">
          <w:pPr>
            <w:pBdr>
              <w:top w:val="nil"/>
              <w:left w:val="nil"/>
              <w:bottom w:val="nil"/>
              <w:right w:val="nil"/>
              <w:between w:val="nil"/>
            </w:pBdr>
            <w:tabs>
              <w:tab w:val="right" w:pos="9338"/>
            </w:tabs>
            <w:spacing w:before="120" w:after="120" w:line="240" w:lineRule="auto"/>
            <w:ind w:left="0" w:hanging="2"/>
            <w:rPr>
              <w:rFonts w:ascii="Bookman Old Style" w:eastAsia="Bookman Old Style" w:hAnsi="Bookman Old Style" w:cs="Bookman Old Style"/>
              <w:color w:val="000000"/>
            </w:rPr>
          </w:pPr>
          <w:r>
            <w:rPr>
              <w:rFonts w:ascii="Bookman Old Style" w:eastAsia="Bookman Old Style" w:hAnsi="Bookman Old Style" w:cs="Bookman Old Style"/>
              <w:color w:val="000000"/>
            </w:rPr>
            <w:t>Appendix 4. Recommended absence period for preventing the spread of infection</w:t>
          </w:r>
          <w:r>
            <w:rPr>
              <w:rFonts w:ascii="Bookman Old Style" w:eastAsia="Bookman Old Style" w:hAnsi="Bookman Old Style" w:cs="Bookman Old Style"/>
              <w:color w:val="000000"/>
            </w:rPr>
            <w:tab/>
          </w:r>
          <w:r>
            <w:fldChar w:fldCharType="begin"/>
          </w:r>
          <w:r>
            <w:instrText xml:space="preserve"> PAGEREF _heading=h.ihv636 \h </w:instrText>
          </w:r>
          <w:r>
            <w:fldChar w:fldCharType="separate"/>
          </w:r>
          <w:r>
            <w:rPr>
              <w:rFonts w:ascii="Bookman Old Style" w:eastAsia="Bookman Old Style" w:hAnsi="Bookman Old Style" w:cs="Bookman Old Style"/>
              <w:color w:val="000000"/>
            </w:rPr>
            <w:t>18</w:t>
          </w:r>
          <w:r>
            <w:fldChar w:fldCharType="end"/>
          </w:r>
          <w:r>
            <w:fldChar w:fldCharType="end"/>
          </w:r>
        </w:p>
      </w:sdtContent>
    </w:sdt>
    <w:p w14:paraId="2E6FEAC7" w14:textId="77777777" w:rsidR="003B338F" w:rsidRDefault="003B338F">
      <w:pPr>
        <w:ind w:left="0" w:hanging="2"/>
        <w:rPr>
          <w:rFonts w:ascii="Bookman Old Style" w:eastAsia="Bookman Old Style" w:hAnsi="Bookman Old Style" w:cs="Bookman Old Style"/>
        </w:rPr>
      </w:pPr>
      <w:bookmarkStart w:id="0" w:name="_heading=h.gjdgxs" w:colFirst="0" w:colLast="0"/>
      <w:bookmarkEnd w:id="0"/>
    </w:p>
    <w:p w14:paraId="683C17DD" w14:textId="77777777" w:rsidR="0064023C" w:rsidRPr="0064023C" w:rsidRDefault="0064023C" w:rsidP="0064023C">
      <w:pPr>
        <w:pStyle w:val="4Heading1"/>
        <w:ind w:hanging="2"/>
        <w:rPr>
          <w:rFonts w:ascii="Bookman Old Style" w:eastAsia="Bookman Old Style" w:hAnsi="Bookman Old Style" w:cs="Bookman Old Style"/>
          <w:color w:val="0000FF"/>
          <w:position w:val="-1"/>
          <w:szCs w:val="28"/>
        </w:rPr>
      </w:pPr>
      <w:bookmarkStart w:id="1" w:name="_Toc529199213"/>
      <w:bookmarkStart w:id="2" w:name="_Toc97726500"/>
      <w:bookmarkStart w:id="3" w:name="_Toc197682872"/>
      <w:r w:rsidRPr="0064023C">
        <w:rPr>
          <w:rFonts w:ascii="Bookman Old Style" w:eastAsia="Bookman Old Style" w:hAnsi="Bookman Old Style" w:cs="Bookman Old Style"/>
          <w:color w:val="0000FF"/>
          <w:position w:val="-1"/>
          <w:szCs w:val="28"/>
        </w:rPr>
        <w:t>1. Aims</w:t>
      </w:r>
      <w:bookmarkEnd w:id="1"/>
      <w:bookmarkEnd w:id="2"/>
      <w:bookmarkEnd w:id="3"/>
    </w:p>
    <w:p w14:paraId="646C5C6A" w14:textId="77777777" w:rsidR="0064023C" w:rsidRDefault="0064023C" w:rsidP="0064023C">
      <w:pPr>
        <w:pStyle w:val="1bodycopy10pt"/>
        <w:ind w:hanging="2"/>
        <w:rPr>
          <w:lang w:val="en-GB"/>
        </w:rPr>
      </w:pPr>
      <w:r>
        <w:rPr>
          <w:lang w:val="en-GB"/>
        </w:rPr>
        <w:t>Our school aims to:</w:t>
      </w:r>
    </w:p>
    <w:p w14:paraId="2C223443" w14:textId="77777777" w:rsidR="0064023C" w:rsidRDefault="0064023C" w:rsidP="0064023C">
      <w:pPr>
        <w:pStyle w:val="3Bulletedcopyblue"/>
        <w:ind w:left="0" w:hanging="2"/>
      </w:pPr>
      <w:r>
        <w:t xml:space="preserve">Provide and maintain a safe and healthy environment </w:t>
      </w:r>
    </w:p>
    <w:p w14:paraId="373BBB71" w14:textId="77777777" w:rsidR="0064023C" w:rsidRDefault="0064023C" w:rsidP="0064023C">
      <w:pPr>
        <w:pStyle w:val="3Bulletedcopyblue"/>
        <w:ind w:left="0" w:hanging="2"/>
      </w:pPr>
      <w:r>
        <w:lastRenderedPageBreak/>
        <w:t>Establish and maintain safe working procedures amongst staff, pupils and all visitors to the school site</w:t>
      </w:r>
    </w:p>
    <w:p w14:paraId="0992B45F" w14:textId="77777777" w:rsidR="0064023C" w:rsidRDefault="0064023C" w:rsidP="0064023C">
      <w:pPr>
        <w:pStyle w:val="3Bulletedcopyblue"/>
        <w:ind w:left="0" w:hanging="2"/>
      </w:pPr>
      <w:r>
        <w:t xml:space="preserve">Have robust procedures in place in case of emergencies </w:t>
      </w:r>
    </w:p>
    <w:p w14:paraId="5C1E5D94" w14:textId="77777777" w:rsidR="0064023C" w:rsidRDefault="0064023C" w:rsidP="0064023C">
      <w:pPr>
        <w:pStyle w:val="3Bulletedcopyblue"/>
        <w:ind w:left="0" w:hanging="2"/>
      </w:pPr>
      <w:r>
        <w:t>Ensure that the premises and equipment are maintained safely, and are regularly inspected</w:t>
      </w:r>
    </w:p>
    <w:p w14:paraId="13F8D208" w14:textId="77777777" w:rsidR="0064023C" w:rsidRDefault="0064023C" w:rsidP="0064023C">
      <w:pPr>
        <w:pStyle w:val="3Bulletedcopyblue"/>
        <w:numPr>
          <w:ilvl w:val="0"/>
          <w:numId w:val="0"/>
        </w:numPr>
        <w:ind w:left="340"/>
      </w:pPr>
    </w:p>
    <w:p w14:paraId="4B9E3986" w14:textId="77777777" w:rsidR="0064023C" w:rsidRPr="0064023C" w:rsidRDefault="0064023C" w:rsidP="0064023C">
      <w:pPr>
        <w:pStyle w:val="4Heading1"/>
        <w:ind w:hanging="2"/>
        <w:rPr>
          <w:rFonts w:ascii="Bookman Old Style" w:eastAsia="Bookman Old Style" w:hAnsi="Bookman Old Style" w:cs="Bookman Old Style"/>
          <w:color w:val="0000FF"/>
          <w:position w:val="-1"/>
          <w:szCs w:val="28"/>
        </w:rPr>
      </w:pPr>
      <w:bookmarkStart w:id="4" w:name="_Toc529199214"/>
      <w:bookmarkStart w:id="5" w:name="_Toc97726501"/>
      <w:bookmarkStart w:id="6" w:name="_Toc197682873"/>
      <w:r w:rsidRPr="0064023C">
        <w:rPr>
          <w:rFonts w:ascii="Bookman Old Style" w:eastAsia="Bookman Old Style" w:hAnsi="Bookman Old Style" w:cs="Bookman Old Style"/>
          <w:color w:val="0000FF"/>
          <w:position w:val="-1"/>
          <w:szCs w:val="28"/>
        </w:rPr>
        <w:t>2. Legislation</w:t>
      </w:r>
      <w:bookmarkEnd w:id="4"/>
      <w:bookmarkEnd w:id="5"/>
      <w:bookmarkEnd w:id="6"/>
    </w:p>
    <w:p w14:paraId="1011A180" w14:textId="77777777" w:rsidR="0064023C" w:rsidRDefault="0064023C" w:rsidP="0064023C">
      <w:pPr>
        <w:pStyle w:val="1bodycopy10pt"/>
        <w:ind w:hanging="2"/>
        <w:rPr>
          <w:lang w:val="en-GB"/>
        </w:rPr>
      </w:pPr>
      <w:r>
        <w:rPr>
          <w:lang w:val="en-GB"/>
        </w:rPr>
        <w:t xml:space="preserve">This policy is based on advice from the Department for Education on </w:t>
      </w:r>
      <w:hyperlink r:id="rId9" w:history="1">
        <w:r>
          <w:rPr>
            <w:rStyle w:val="Hyperlink"/>
            <w:lang w:val="en-GB"/>
          </w:rPr>
          <w:t>health and safety in schools</w:t>
        </w:r>
      </w:hyperlink>
      <w:r>
        <w:rPr>
          <w:lang w:val="en-GB"/>
        </w:rPr>
        <w:t xml:space="preserve">, guidance from the Health and Safety Executive (HSE) on </w:t>
      </w:r>
      <w:hyperlink r:id="rId10" w:history="1">
        <w:r>
          <w:rPr>
            <w:rStyle w:val="Hyperlink"/>
            <w:lang w:val="en-GB"/>
          </w:rPr>
          <w:t>incident reporting in schools</w:t>
        </w:r>
      </w:hyperlink>
      <w:r>
        <w:rPr>
          <w:lang w:val="en-GB"/>
        </w:rPr>
        <w:t>, and the following legislation:</w:t>
      </w:r>
    </w:p>
    <w:p w14:paraId="0F6D5A7C" w14:textId="77777777" w:rsidR="0064023C" w:rsidRDefault="0064023C" w:rsidP="0064023C">
      <w:pPr>
        <w:pStyle w:val="3Bulletedcopyblue"/>
        <w:ind w:left="0" w:hanging="2"/>
      </w:pPr>
      <w:hyperlink r:id="rId11" w:history="1">
        <w:r>
          <w:rPr>
            <w:rStyle w:val="Hyperlink"/>
          </w:rPr>
          <w:t>The Health and Safety at Work etc. Act 1974</w:t>
        </w:r>
      </w:hyperlink>
      <w:r>
        <w:t>, which sets out the general duties employers have towards employees and duties relating to lettings</w:t>
      </w:r>
    </w:p>
    <w:p w14:paraId="7134F640" w14:textId="77777777" w:rsidR="0064023C" w:rsidRDefault="0064023C" w:rsidP="0064023C">
      <w:pPr>
        <w:pStyle w:val="3Bulletedcopyblue"/>
        <w:ind w:left="0" w:hanging="2"/>
      </w:pPr>
      <w:hyperlink r:id="rId12" w:history="1">
        <w:r>
          <w:rPr>
            <w:rStyle w:val="Hyperlink"/>
          </w:rPr>
          <w:t>The Management of Health and Safety at Work Regulations 1992</w:t>
        </w:r>
      </w:hyperlink>
      <w:r>
        <w:t>, which require employers to make an assessment of the risks to the health and safety of their employees</w:t>
      </w:r>
    </w:p>
    <w:p w14:paraId="17D7DFBA" w14:textId="77777777" w:rsidR="0064023C" w:rsidRDefault="0064023C" w:rsidP="0064023C">
      <w:pPr>
        <w:pStyle w:val="3Bulletedcopyblue"/>
        <w:ind w:left="0" w:hanging="2"/>
      </w:pPr>
      <w:hyperlink r:id="rId13" w:history="1">
        <w:r>
          <w:rPr>
            <w:rStyle w:val="Hyperlink"/>
          </w:rPr>
          <w:t>The Management of Health and Safety at Work Regulations 1999</w:t>
        </w:r>
      </w:hyperlink>
      <w:r>
        <w:t>, which require employers to carry out risk assessments, make arrangements to implement necessary measures, and arrange for appropriate information and training</w:t>
      </w:r>
    </w:p>
    <w:p w14:paraId="4FAE9A64" w14:textId="77777777" w:rsidR="0064023C" w:rsidRDefault="0064023C" w:rsidP="0064023C">
      <w:pPr>
        <w:pStyle w:val="3Bulletedcopyblue"/>
        <w:ind w:left="0" w:hanging="2"/>
      </w:pPr>
      <w:hyperlink r:id="rId14" w:history="1">
        <w:r>
          <w:rPr>
            <w:rStyle w:val="Hyperlink"/>
          </w:rPr>
          <w:t>The Control of Substances Hazardous to Health Regulations 2002</w:t>
        </w:r>
      </w:hyperlink>
      <w:r>
        <w:t>, which require employers to control substances that are hazardous to health</w:t>
      </w:r>
    </w:p>
    <w:p w14:paraId="7865D487" w14:textId="77777777" w:rsidR="0064023C" w:rsidRDefault="0064023C" w:rsidP="0064023C">
      <w:pPr>
        <w:pStyle w:val="3Bulletedcopyblue"/>
        <w:ind w:left="0" w:hanging="2"/>
      </w:pPr>
      <w:hyperlink r:id="rId15" w:history="1">
        <w:r>
          <w:rPr>
            <w:rStyle w:val="Hyperlink"/>
          </w:rPr>
          <w:t>The Reporting of Injuries, Diseases and Dangerous Occurrences Regulations (RIDDOR) 2013</w:t>
        </w:r>
      </w:hyperlink>
      <w:r>
        <w:t>, which state that some accidents must be reported to the Health and Safety Executive and set out the timeframe for this and how long records of such accidents must be kept</w:t>
      </w:r>
    </w:p>
    <w:p w14:paraId="759735F4" w14:textId="77777777" w:rsidR="0064023C" w:rsidRDefault="0064023C" w:rsidP="0064023C">
      <w:pPr>
        <w:pStyle w:val="3Bulletedcopyblue"/>
        <w:ind w:left="0" w:hanging="2"/>
      </w:pPr>
      <w:hyperlink r:id="rId16" w:history="1">
        <w:r>
          <w:rPr>
            <w:rStyle w:val="Hyperlink"/>
          </w:rPr>
          <w:t>The Health and Safety (Display Screen Equipment) Regulations 1992</w:t>
        </w:r>
      </w:hyperlink>
      <w:r>
        <w:t>, which require employers to carry out digital screen equipment assessments and states users’ entitlement to an eyesight test</w:t>
      </w:r>
    </w:p>
    <w:p w14:paraId="44FDB5AC" w14:textId="77777777" w:rsidR="0064023C" w:rsidRDefault="0064023C" w:rsidP="0064023C">
      <w:pPr>
        <w:pStyle w:val="3Bulletedcopyblue"/>
        <w:ind w:left="0" w:hanging="2"/>
      </w:pPr>
      <w:hyperlink r:id="rId17" w:history="1">
        <w:r>
          <w:rPr>
            <w:rStyle w:val="Hyperlink"/>
          </w:rPr>
          <w:t>The Gas Safety (Installation and Use) Regulations 1998</w:t>
        </w:r>
      </w:hyperlink>
      <w:r>
        <w:t>, which require work on gas fittings to be carried out by someone on the Gas Safe Register</w:t>
      </w:r>
    </w:p>
    <w:p w14:paraId="542F4DD7" w14:textId="77777777" w:rsidR="0064023C" w:rsidRDefault="0064023C" w:rsidP="0064023C">
      <w:pPr>
        <w:pStyle w:val="3Bulletedcopyblue"/>
        <w:ind w:left="0" w:hanging="2"/>
      </w:pPr>
      <w:hyperlink r:id="rId18" w:history="1">
        <w:r>
          <w:rPr>
            <w:rStyle w:val="Hyperlink"/>
          </w:rPr>
          <w:t>The Regulatory Reform (Fire Safety) Order 2005</w:t>
        </w:r>
      </w:hyperlink>
      <w:r>
        <w:t>, which requires employers to take general fire precautions to ensure the safety of their staff</w:t>
      </w:r>
    </w:p>
    <w:p w14:paraId="35CA2073" w14:textId="77777777" w:rsidR="0064023C" w:rsidRDefault="0064023C" w:rsidP="0064023C">
      <w:pPr>
        <w:pStyle w:val="3Bulletedcopyblue"/>
        <w:ind w:left="0" w:hanging="2"/>
      </w:pPr>
      <w:hyperlink r:id="rId19" w:history="1">
        <w:r>
          <w:rPr>
            <w:rStyle w:val="Hyperlink"/>
          </w:rPr>
          <w:t>The Work at Height Regulations 2005</w:t>
        </w:r>
      </w:hyperlink>
      <w:r>
        <w:t>, which require employers to protect their staff from falls from height</w:t>
      </w:r>
    </w:p>
    <w:p w14:paraId="264BB279" w14:textId="77777777" w:rsidR="0064023C" w:rsidRDefault="0064023C" w:rsidP="0064023C">
      <w:pPr>
        <w:pStyle w:val="1bodycopy10pt"/>
        <w:ind w:hanging="2"/>
        <w:rPr>
          <w:rFonts w:cs="Arial"/>
          <w:szCs w:val="20"/>
          <w:lang w:val="en-GB"/>
        </w:rPr>
      </w:pPr>
      <w:r>
        <w:rPr>
          <w:lang w:val="en-GB"/>
        </w:rPr>
        <w:t xml:space="preserve">The school follows </w:t>
      </w:r>
      <w:hyperlink r:id="rId20" w:history="1">
        <w:r>
          <w:rPr>
            <w:rStyle w:val="Hyperlink"/>
            <w:szCs w:val="20"/>
            <w:lang w:val="en-GB"/>
          </w:rPr>
          <w:t>national guidance published by UK Health Security Agency (formerly Public Health England</w:t>
        </w:r>
      </w:hyperlink>
      <w:r>
        <w:rPr>
          <w:rStyle w:val="Hyperlink"/>
          <w:szCs w:val="20"/>
          <w:lang w:val="en-GB"/>
        </w:rPr>
        <w:t>)</w:t>
      </w:r>
      <w:r>
        <w:rPr>
          <w:lang w:val="en-GB"/>
        </w:rPr>
        <w:t xml:space="preserve"> and government guidance on </w:t>
      </w:r>
      <w:hyperlink r:id="rId21" w:history="1">
        <w:r>
          <w:rPr>
            <w:rStyle w:val="Hyperlink"/>
            <w:lang w:val="en-GB"/>
          </w:rPr>
          <w:t>living with COVID-19</w:t>
        </w:r>
      </w:hyperlink>
      <w:r>
        <w:rPr>
          <w:lang w:val="en-GB"/>
        </w:rPr>
        <w:t xml:space="preserve"> when responding to infection control issues.</w:t>
      </w:r>
    </w:p>
    <w:p w14:paraId="18B64479" w14:textId="77777777" w:rsidR="003B338F" w:rsidRDefault="003B338F">
      <w:pPr>
        <w:ind w:left="0" w:hanging="2"/>
        <w:jc w:val="both"/>
        <w:rPr>
          <w:rFonts w:ascii="Bookman Old Style" w:eastAsia="Bookman Old Style" w:hAnsi="Bookman Old Style" w:cs="Bookman Old Style"/>
        </w:rPr>
      </w:pPr>
    </w:p>
    <w:p w14:paraId="236D8577" w14:textId="77777777" w:rsidR="003B338F" w:rsidRDefault="003B338F">
      <w:pPr>
        <w:ind w:left="0" w:hanging="2"/>
        <w:jc w:val="both"/>
        <w:rPr>
          <w:rFonts w:ascii="Bookman Old Style" w:eastAsia="Bookman Old Style" w:hAnsi="Bookman Old Style" w:cs="Bookman Old Style"/>
        </w:rPr>
      </w:pPr>
      <w:bookmarkStart w:id="7" w:name="_heading=h.lnxbz9" w:colFirst="0" w:colLast="0"/>
      <w:bookmarkEnd w:id="7"/>
    </w:p>
    <w:p w14:paraId="3BA5DFDA" w14:textId="77777777" w:rsidR="003B338F" w:rsidRDefault="00000000">
      <w:pPr>
        <w:pStyle w:val="Heading1"/>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Roles and Responsibilities</w:t>
      </w:r>
    </w:p>
    <w:p w14:paraId="65897BD2" w14:textId="77777777" w:rsidR="003B338F" w:rsidRDefault="003B338F">
      <w:pPr>
        <w:ind w:left="0" w:hanging="2"/>
        <w:rPr>
          <w:rFonts w:ascii="Bookman Old Style" w:eastAsia="Bookman Old Style" w:hAnsi="Bookman Old Style" w:cs="Bookman Old Style"/>
        </w:rPr>
      </w:pPr>
    </w:p>
    <w:p w14:paraId="6660080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3.1 The Proprietor</w:t>
      </w:r>
    </w:p>
    <w:p w14:paraId="0D2094C4" w14:textId="77777777" w:rsidR="003B338F" w:rsidRDefault="003B338F">
      <w:pPr>
        <w:ind w:left="0" w:hanging="2"/>
        <w:rPr>
          <w:rFonts w:ascii="Bookman Old Style" w:eastAsia="Bookman Old Style" w:hAnsi="Bookman Old Style" w:cs="Bookman Old Style"/>
        </w:rPr>
      </w:pPr>
    </w:p>
    <w:p w14:paraId="35F7DABA"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proprietor has ultimate responsibility for health and safety matters in the school, but will delegate day-to-day responsibility to Head Teacher.</w:t>
      </w:r>
    </w:p>
    <w:p w14:paraId="008EDBE7" w14:textId="77777777" w:rsidR="003B338F" w:rsidRDefault="003B338F">
      <w:pPr>
        <w:ind w:left="0" w:hanging="2"/>
        <w:jc w:val="both"/>
        <w:rPr>
          <w:rFonts w:ascii="Bookman Old Style" w:eastAsia="Bookman Old Style" w:hAnsi="Bookman Old Style" w:cs="Bookman Old Style"/>
        </w:rPr>
      </w:pPr>
    </w:p>
    <w:p w14:paraId="0396E79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The proprietor has a duty to take reasonable steps to ensure that staff and pupils are not exposed to risks to their health and safety. This applies to activities on or off the school premises. </w:t>
      </w:r>
    </w:p>
    <w:p w14:paraId="4F3F47F3"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proprietor, as the employer, also has a duty to:</w:t>
      </w:r>
    </w:p>
    <w:p w14:paraId="49B80E2D"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Assess the risks to staff and others affected by school activities in order to identify and introduce the health and safety measures necessary to manage those risks.</w:t>
      </w:r>
    </w:p>
    <w:p w14:paraId="3504A738"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Inform employees about risks and the measures in place to manage them.</w:t>
      </w:r>
    </w:p>
    <w:p w14:paraId="0E8FE524"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Ensure that adequate health and safety training is provided.</w:t>
      </w:r>
    </w:p>
    <w:p w14:paraId="415648BB" w14:textId="77777777" w:rsidR="003B338F" w:rsidRDefault="003B338F">
      <w:pPr>
        <w:ind w:left="0" w:hanging="2"/>
        <w:rPr>
          <w:rFonts w:ascii="Bookman Old Style" w:eastAsia="Bookman Old Style" w:hAnsi="Bookman Old Style" w:cs="Bookman Old Style"/>
          <w:color w:val="F15F22"/>
        </w:rPr>
      </w:pPr>
    </w:p>
    <w:p w14:paraId="2630FFAF"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3.2 Headteacher</w:t>
      </w:r>
    </w:p>
    <w:p w14:paraId="40CD9692" w14:textId="77777777" w:rsidR="003B338F" w:rsidRDefault="003B338F">
      <w:pPr>
        <w:ind w:left="0" w:hanging="2"/>
        <w:rPr>
          <w:rFonts w:ascii="Bookman Old Style" w:eastAsia="Bookman Old Style" w:hAnsi="Bookman Old Style" w:cs="Bookman Old Style"/>
        </w:rPr>
      </w:pPr>
    </w:p>
    <w:p w14:paraId="2A16292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lastRenderedPageBreak/>
        <w:t>The headteacher is responsible for health and safety day-to-day. This involves:</w:t>
      </w:r>
    </w:p>
    <w:p w14:paraId="2F353C92"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Implementing the health and safety policy.</w:t>
      </w:r>
    </w:p>
    <w:p w14:paraId="2861757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Ensuring there is enough staff to safely supervise pupils.</w:t>
      </w:r>
    </w:p>
    <w:p w14:paraId="3DE5556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Ensuring that the school building and premises are safe and regularly inspected. </w:t>
      </w:r>
    </w:p>
    <w:p w14:paraId="220A99E7"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Providing adequate training for school staff.</w:t>
      </w:r>
    </w:p>
    <w:p w14:paraId="0BBEF6F5"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Reporting to the governing board on health and safety matters.</w:t>
      </w:r>
    </w:p>
    <w:p w14:paraId="3814C5C8"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Ensuring appropriate evacuation procedures are in place and regular fire drills are held.</w:t>
      </w:r>
    </w:p>
    <w:p w14:paraId="0FF46D0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Ensuring that in their absence, health and safety responsibilities are delegated to another member of staff.</w:t>
      </w:r>
    </w:p>
    <w:p w14:paraId="2F06E06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Ensuring all risk assessments are completed and reviewed.</w:t>
      </w:r>
    </w:p>
    <w:p w14:paraId="35DAF6B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Monitoring cleaning contracts, and ensuring cleaners are appropriately trained and have access to personal protective equipment, where necessary.</w:t>
      </w:r>
    </w:p>
    <w:p w14:paraId="2C372ED5"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5C0C7A3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In the headteacher’s absence, the business Manager assumes the above day-to-day health and safety responsibilities.</w:t>
      </w:r>
      <w:r>
        <w:rPr>
          <w:rFonts w:ascii="Bookman Old Style" w:eastAsia="Bookman Old Style" w:hAnsi="Bookman Old Style" w:cs="Bookman Old Style"/>
        </w:rPr>
        <w:br/>
      </w:r>
    </w:p>
    <w:p w14:paraId="65BA86B2" w14:textId="77777777" w:rsidR="003B338F" w:rsidRDefault="003B338F">
      <w:pPr>
        <w:ind w:left="0" w:hanging="2"/>
        <w:rPr>
          <w:rFonts w:ascii="Bookman Old Style" w:eastAsia="Bookman Old Style" w:hAnsi="Bookman Old Style" w:cs="Bookman Old Style"/>
        </w:rPr>
      </w:pPr>
    </w:p>
    <w:p w14:paraId="3FCE434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3.3 Health and Safety Lead</w:t>
      </w:r>
      <w:r>
        <w:rPr>
          <w:rFonts w:ascii="Bookman Old Style" w:eastAsia="Bookman Old Style" w:hAnsi="Bookman Old Style" w:cs="Bookman Old Style"/>
          <w:b/>
        </w:rPr>
        <w:br/>
      </w:r>
    </w:p>
    <w:p w14:paraId="66F7510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The nominated health and safety lead is Christine Benjamin, Business Manager.</w:t>
      </w:r>
      <w:r>
        <w:rPr>
          <w:rFonts w:ascii="Bookman Old Style" w:eastAsia="Bookman Old Style" w:hAnsi="Bookman Old Style" w:cs="Bookman Old Style"/>
        </w:rPr>
        <w:br/>
      </w:r>
    </w:p>
    <w:p w14:paraId="38ED7F9F" w14:textId="77777777" w:rsidR="003B338F" w:rsidRDefault="003B338F">
      <w:pPr>
        <w:ind w:left="0" w:hanging="2"/>
        <w:rPr>
          <w:rFonts w:ascii="Bookman Old Style" w:eastAsia="Bookman Old Style" w:hAnsi="Bookman Old Style" w:cs="Bookman Old Style"/>
        </w:rPr>
      </w:pPr>
    </w:p>
    <w:p w14:paraId="0A45C21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3.4 Staff</w:t>
      </w:r>
      <w:r>
        <w:rPr>
          <w:rFonts w:ascii="Bookman Old Style" w:eastAsia="Bookman Old Style" w:hAnsi="Bookman Old Style" w:cs="Bookman Old Style"/>
          <w:b/>
        </w:rPr>
        <w:br/>
      </w:r>
    </w:p>
    <w:p w14:paraId="3132CEB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School staff have a duty to take care of pupils in the same way that a prudent parent would do so.</w:t>
      </w:r>
    </w:p>
    <w:p w14:paraId="0530C90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Staff will:</w:t>
      </w:r>
    </w:p>
    <w:p w14:paraId="3B9BD74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Take reasonable care of their own health and safety and that of others who may be affected by what they do at work.</w:t>
      </w:r>
    </w:p>
    <w:p w14:paraId="649E5CD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Co-operate with the school on health and safety matters.</w:t>
      </w:r>
    </w:p>
    <w:p w14:paraId="2A5C77B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Work in accordance with training and instructions.</w:t>
      </w:r>
    </w:p>
    <w:p w14:paraId="3869E952"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Inform the appropriate person of any work situation representing a serious and immediate danger so that remedial action can be taken.</w:t>
      </w:r>
    </w:p>
    <w:p w14:paraId="5228C4F5"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Model safe and hygienic practice for pupils.</w:t>
      </w:r>
    </w:p>
    <w:p w14:paraId="0118C080"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Understand emergency evacuation procedures and feel confident in implementing them.</w:t>
      </w:r>
    </w:p>
    <w:p w14:paraId="2D9DABA5"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14CE94D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3.5 Pupils and Parents</w:t>
      </w:r>
    </w:p>
    <w:p w14:paraId="542FB38F" w14:textId="77777777" w:rsidR="003B338F" w:rsidRDefault="003B338F">
      <w:pPr>
        <w:ind w:left="0" w:hanging="2"/>
        <w:rPr>
          <w:rFonts w:ascii="Bookman Old Style" w:eastAsia="Bookman Old Style" w:hAnsi="Bookman Old Style" w:cs="Bookman Old Style"/>
        </w:rPr>
      </w:pPr>
    </w:p>
    <w:p w14:paraId="45085BC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Pupils and parents are responsible for following the school’s health and safety advice, on-site and off-site, and for reporting any health and safety incidents to a member of staff. </w:t>
      </w:r>
    </w:p>
    <w:p w14:paraId="6CB626A7" w14:textId="77777777" w:rsidR="003B338F" w:rsidRDefault="003B338F">
      <w:pPr>
        <w:ind w:left="0" w:hanging="2"/>
        <w:rPr>
          <w:rFonts w:ascii="Bookman Old Style" w:eastAsia="Bookman Old Style" w:hAnsi="Bookman Old Style" w:cs="Bookman Old Style"/>
        </w:rPr>
      </w:pPr>
    </w:p>
    <w:p w14:paraId="22F5BF71" w14:textId="77777777" w:rsidR="003B338F" w:rsidRDefault="003B338F">
      <w:pPr>
        <w:ind w:left="0" w:hanging="2"/>
        <w:rPr>
          <w:rFonts w:ascii="Bookman Old Style" w:eastAsia="Bookman Old Style" w:hAnsi="Bookman Old Style" w:cs="Bookman Old Style"/>
        </w:rPr>
      </w:pPr>
    </w:p>
    <w:p w14:paraId="48BE25BF" w14:textId="77777777" w:rsidR="003B338F" w:rsidRDefault="003B338F">
      <w:pPr>
        <w:ind w:left="0" w:hanging="2"/>
        <w:rPr>
          <w:rFonts w:ascii="Bookman Old Style" w:eastAsia="Bookman Old Style" w:hAnsi="Bookman Old Style" w:cs="Bookman Old Style"/>
        </w:rPr>
      </w:pPr>
    </w:p>
    <w:p w14:paraId="41BAE61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3.6 Contractors</w:t>
      </w:r>
    </w:p>
    <w:p w14:paraId="3A1A6BD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Contractors will agree health and safety practices with the headteacher before starting work. Before work begins the contractor will provide evidence that they have completed an adequate risk assessment of all their planned work. </w:t>
      </w:r>
    </w:p>
    <w:p w14:paraId="22A8866E" w14:textId="77777777" w:rsidR="003B338F" w:rsidRDefault="003B338F">
      <w:pPr>
        <w:ind w:left="0" w:hanging="2"/>
        <w:rPr>
          <w:rFonts w:ascii="Bookman Old Style" w:eastAsia="Bookman Old Style" w:hAnsi="Bookman Old Style" w:cs="Bookman Old Style"/>
        </w:rPr>
      </w:pPr>
    </w:p>
    <w:p w14:paraId="3639E395" w14:textId="77777777" w:rsidR="003B338F" w:rsidRDefault="003B338F">
      <w:pPr>
        <w:ind w:left="0" w:hanging="2"/>
        <w:rPr>
          <w:rFonts w:ascii="Bookman Old Style" w:eastAsia="Bookman Old Style" w:hAnsi="Bookman Old Style" w:cs="Bookman Old Style"/>
        </w:rPr>
      </w:pPr>
    </w:p>
    <w:p w14:paraId="65DC98C1" w14:textId="77777777" w:rsidR="003B338F" w:rsidRDefault="003B338F">
      <w:pPr>
        <w:ind w:left="0" w:hanging="2"/>
        <w:rPr>
          <w:rFonts w:ascii="Bookman Old Style" w:eastAsia="Bookman Old Style" w:hAnsi="Bookman Old Style" w:cs="Bookman Old Style"/>
        </w:rPr>
      </w:pPr>
      <w:bookmarkStart w:id="8" w:name="_heading=h.35nkun2" w:colFirst="0" w:colLast="0"/>
      <w:bookmarkEnd w:id="8"/>
    </w:p>
    <w:p w14:paraId="5ADD04D8" w14:textId="77777777" w:rsidR="003B338F" w:rsidRDefault="00000000">
      <w:pPr>
        <w:pStyle w:val="Heading1"/>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lastRenderedPageBreak/>
        <w:t>Site Security</w:t>
      </w:r>
    </w:p>
    <w:p w14:paraId="6C0FBF6A" w14:textId="77777777" w:rsidR="003B338F" w:rsidRDefault="003B338F">
      <w:pPr>
        <w:ind w:left="0" w:hanging="2"/>
        <w:rPr>
          <w:rFonts w:ascii="Bookman Old Style" w:eastAsia="Bookman Old Style" w:hAnsi="Bookman Old Style" w:cs="Bookman Old Style"/>
        </w:rPr>
      </w:pPr>
    </w:p>
    <w:p w14:paraId="332F236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David Ollier, Head Teacher and Christine Benjamin, Business Manager are responsible for the security of the school site in and out of school hours. They are responsible for visual inspections of the site, and for fire alarm system.  All staff are key holders and can respond to an emergency. </w:t>
      </w:r>
    </w:p>
    <w:p w14:paraId="326DA419" w14:textId="77777777" w:rsidR="003B338F" w:rsidRDefault="003B338F">
      <w:pPr>
        <w:ind w:left="0" w:hanging="2"/>
        <w:rPr>
          <w:rFonts w:ascii="Bookman Old Style" w:eastAsia="Bookman Old Style" w:hAnsi="Bookman Old Style" w:cs="Bookman Old Style"/>
        </w:rPr>
      </w:pPr>
    </w:p>
    <w:p w14:paraId="333D14B8" w14:textId="77777777" w:rsidR="003B338F" w:rsidRDefault="003B338F">
      <w:pPr>
        <w:ind w:left="0" w:hanging="2"/>
        <w:rPr>
          <w:rFonts w:ascii="Bookman Old Style" w:eastAsia="Bookman Old Style" w:hAnsi="Bookman Old Style" w:cs="Bookman Old Style"/>
        </w:rPr>
      </w:pPr>
      <w:bookmarkStart w:id="9" w:name="_heading=h.1ksv4uv" w:colFirst="0" w:colLast="0"/>
      <w:bookmarkEnd w:id="9"/>
    </w:p>
    <w:p w14:paraId="4950B52E"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Signing in and out</w:t>
      </w:r>
    </w:p>
    <w:p w14:paraId="3843737D" w14:textId="77777777" w:rsidR="003B338F" w:rsidRDefault="003B338F">
      <w:pPr>
        <w:ind w:left="0" w:hanging="2"/>
      </w:pPr>
    </w:p>
    <w:p w14:paraId="0EB24AB8" w14:textId="77777777" w:rsidR="003B338F" w:rsidRDefault="00000000">
      <w:pPr>
        <w:ind w:left="0" w:hanging="2"/>
      </w:pPr>
      <w:r>
        <w:t xml:space="preserve">All staff, pupils and visitors are required to sign in and out using the </w:t>
      </w:r>
      <w:proofErr w:type="spellStart"/>
      <w:r>
        <w:t>InVentry</w:t>
      </w:r>
      <w:proofErr w:type="spellEnd"/>
      <w:r>
        <w:t xml:space="preserve"> system in each office.  This system must be used when entering and leaving the building for any reason.</w:t>
      </w:r>
    </w:p>
    <w:p w14:paraId="68E9332F" w14:textId="77777777" w:rsidR="003B338F" w:rsidRDefault="003B338F">
      <w:pPr>
        <w:ind w:left="0" w:hanging="2"/>
      </w:pPr>
    </w:p>
    <w:p w14:paraId="555D70B5"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Fire</w:t>
      </w:r>
    </w:p>
    <w:p w14:paraId="7CB9B966" w14:textId="77777777" w:rsidR="003B338F" w:rsidRDefault="003B338F">
      <w:pPr>
        <w:ind w:left="0" w:hanging="2"/>
        <w:rPr>
          <w:rFonts w:ascii="Bookman Old Style" w:eastAsia="Bookman Old Style" w:hAnsi="Bookman Old Style" w:cs="Bookman Old Style"/>
        </w:rPr>
      </w:pPr>
    </w:p>
    <w:p w14:paraId="7C0A8299"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Emergency exits, assembly points and assembly point instructions are clearly identified by safety signs and notices. Fire risk assessment of the premises will be reviewed regularly.  Emergency evacuations are practised at least once a term.  The fire alarm is a loud continuous bell.  Fire alarm testing will take place once a week.  New staff will be trained in fire safety and all staff and pupils will be made aware of any new fire risks.</w:t>
      </w:r>
    </w:p>
    <w:p w14:paraId="3A413439" w14:textId="77777777" w:rsidR="003B338F" w:rsidRDefault="003B338F">
      <w:pPr>
        <w:ind w:left="0" w:hanging="2"/>
        <w:jc w:val="both"/>
        <w:rPr>
          <w:rFonts w:ascii="Bookman Old Style" w:eastAsia="Bookman Old Style" w:hAnsi="Bookman Old Style" w:cs="Bookman Old Style"/>
        </w:rPr>
      </w:pPr>
    </w:p>
    <w:p w14:paraId="727D464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In the event of a fire:</w:t>
      </w:r>
    </w:p>
    <w:p w14:paraId="4AFEB86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 alarm will be raised immediately by whoever discovers the fire and emergency services contacted. Evacuation procedures will also begin immediately.</w:t>
      </w:r>
    </w:p>
    <w:p w14:paraId="28F5761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Fire extinguishers may be used by staff only, and only then if staff are trained in how to operate them and are </w:t>
      </w:r>
      <w:proofErr w:type="gramStart"/>
      <w:r>
        <w:rPr>
          <w:rFonts w:ascii="Bookman Old Style" w:eastAsia="Bookman Old Style" w:hAnsi="Bookman Old Style" w:cs="Bookman Old Style"/>
          <w:color w:val="000000"/>
          <w:sz w:val="20"/>
          <w:szCs w:val="20"/>
        </w:rPr>
        <w:t>confident</w:t>
      </w:r>
      <w:proofErr w:type="gramEnd"/>
      <w:r>
        <w:rPr>
          <w:rFonts w:ascii="Bookman Old Style" w:eastAsia="Bookman Old Style" w:hAnsi="Bookman Old Style" w:cs="Bookman Old Style"/>
          <w:color w:val="000000"/>
          <w:sz w:val="20"/>
          <w:szCs w:val="20"/>
        </w:rPr>
        <w:t xml:space="preserve"> they can use them without putting themselves or others at risk.</w:t>
      </w:r>
    </w:p>
    <w:p w14:paraId="6BBFA040"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F15F22"/>
          <w:sz w:val="20"/>
          <w:szCs w:val="20"/>
        </w:rPr>
      </w:pPr>
      <w:r>
        <w:rPr>
          <w:rFonts w:ascii="Bookman Old Style" w:eastAsia="Bookman Old Style" w:hAnsi="Bookman Old Style" w:cs="Bookman Old Style"/>
          <w:color w:val="000000"/>
          <w:sz w:val="20"/>
          <w:szCs w:val="20"/>
        </w:rPr>
        <w:t>Staff and pupils will congregate at the assembly points. These are different at each site and are displayed on emergency notices in each room.</w:t>
      </w:r>
    </w:p>
    <w:p w14:paraId="31739FE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Tutors will take a register of pupils, which will then be checked against the attendance register of that day.</w:t>
      </w:r>
    </w:p>
    <w:p w14:paraId="3BCB177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 Head Teacher or available SMT will take a register of all staff.</w:t>
      </w:r>
    </w:p>
    <w:p w14:paraId="79513927"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Staff and pupils will remain outside the building until the emergency services say it is safe to re-enter. </w:t>
      </w:r>
    </w:p>
    <w:p w14:paraId="3C0A7B17" w14:textId="77777777" w:rsidR="003B338F" w:rsidRDefault="00000000">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 school will have special arrangements in place for the evacuation of people with mobility needs and fire risk assessments will also pay particular attention to those with disabilities.</w:t>
      </w:r>
    </w:p>
    <w:p w14:paraId="7920E6D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 fire safety checklist can be found in appendix 1.</w:t>
      </w:r>
    </w:p>
    <w:p w14:paraId="7E43A202" w14:textId="77777777" w:rsidR="003B338F" w:rsidRDefault="003B338F">
      <w:pPr>
        <w:ind w:left="0" w:hanging="2"/>
        <w:rPr>
          <w:rFonts w:ascii="Bookman Old Style" w:eastAsia="Bookman Old Style" w:hAnsi="Bookman Old Style" w:cs="Bookman Old Style"/>
        </w:rPr>
      </w:pPr>
    </w:p>
    <w:p w14:paraId="03AB2F06" w14:textId="77777777" w:rsidR="003B338F" w:rsidRDefault="003B338F">
      <w:pPr>
        <w:ind w:left="0" w:hanging="2"/>
        <w:rPr>
          <w:rFonts w:ascii="Bookman Old Style" w:eastAsia="Bookman Old Style" w:hAnsi="Bookman Old Style" w:cs="Bookman Old Style"/>
        </w:rPr>
      </w:pPr>
      <w:bookmarkStart w:id="10" w:name="_heading=h.44sinio" w:colFirst="0" w:colLast="0"/>
      <w:bookmarkEnd w:id="10"/>
    </w:p>
    <w:p w14:paraId="5937BC3D"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COSHH</w:t>
      </w:r>
    </w:p>
    <w:p w14:paraId="4A3D5FCE" w14:textId="77777777" w:rsidR="003B338F" w:rsidRDefault="003B338F">
      <w:pPr>
        <w:ind w:left="0" w:hanging="2"/>
        <w:rPr>
          <w:rFonts w:ascii="Bookman Old Style" w:eastAsia="Bookman Old Style" w:hAnsi="Bookman Old Style" w:cs="Bookman Old Style"/>
        </w:rPr>
      </w:pPr>
    </w:p>
    <w:p w14:paraId="2F912E0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Schools are required to control hazardous substances, which can take many forms, including:</w:t>
      </w:r>
    </w:p>
    <w:p w14:paraId="6FA0050E"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Chemicals</w:t>
      </w:r>
    </w:p>
    <w:p w14:paraId="68EED89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Products containing chemicals</w:t>
      </w:r>
    </w:p>
    <w:p w14:paraId="2DF88927"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Fumes</w:t>
      </w:r>
    </w:p>
    <w:p w14:paraId="32B264A7"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Dusts</w:t>
      </w:r>
    </w:p>
    <w:p w14:paraId="00CC191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Vapours</w:t>
      </w:r>
    </w:p>
    <w:p w14:paraId="30EB203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Mists</w:t>
      </w:r>
    </w:p>
    <w:p w14:paraId="47405CF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Gases and asphyxiating gases</w:t>
      </w:r>
    </w:p>
    <w:p w14:paraId="0B3B336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Germs that cause diseases, such as leptospirosis or legionnaires disease </w:t>
      </w:r>
    </w:p>
    <w:p w14:paraId="7930CDE3" w14:textId="77777777" w:rsidR="003B338F" w:rsidRDefault="003B338F">
      <w:pPr>
        <w:ind w:left="0" w:hanging="2"/>
        <w:jc w:val="both"/>
        <w:rPr>
          <w:rFonts w:ascii="Bookman Old Style" w:eastAsia="Bookman Old Style" w:hAnsi="Bookman Old Style" w:cs="Bookman Old Style"/>
        </w:rPr>
      </w:pPr>
    </w:p>
    <w:p w14:paraId="60576FE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Control of substances hazardous to health (COSHH) risk assessments are completed by Lisa Jane Colyer, Office Manager and circulated to all employees who work with hazardous substances. Staff will also be provided with protective equipment, where necessary. </w:t>
      </w:r>
    </w:p>
    <w:p w14:paraId="156BF2AB" w14:textId="77777777" w:rsidR="003B338F" w:rsidRDefault="003B338F">
      <w:pPr>
        <w:ind w:left="0" w:hanging="2"/>
        <w:jc w:val="both"/>
        <w:rPr>
          <w:rFonts w:ascii="Bookman Old Style" w:eastAsia="Bookman Old Style" w:hAnsi="Bookman Old Style" w:cs="Bookman Old Style"/>
        </w:rPr>
      </w:pPr>
    </w:p>
    <w:p w14:paraId="69493B1F"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Our staff use and store hazardous products in accordance with instructions on the product label. All hazardous products are kept in locked store cupboards. All hazardous products are kept in their original containers, with clear labelling and product information. </w:t>
      </w:r>
    </w:p>
    <w:p w14:paraId="396E0C86" w14:textId="77777777" w:rsidR="003B338F" w:rsidRDefault="003B338F">
      <w:pPr>
        <w:ind w:left="0" w:hanging="2"/>
        <w:jc w:val="both"/>
        <w:rPr>
          <w:rFonts w:ascii="Bookman Old Style" w:eastAsia="Bookman Old Style" w:hAnsi="Bookman Old Style" w:cs="Bookman Old Style"/>
        </w:rPr>
      </w:pPr>
    </w:p>
    <w:p w14:paraId="4DE3389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Any hazardous products are disposed of in accordance with specific disposal procedures.</w:t>
      </w:r>
    </w:p>
    <w:p w14:paraId="20FFA0E6"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Emergency procedures, including procedures for dealing with spillages, are displayed near where hazardous products are stored and in areas where they are routinely used.</w:t>
      </w:r>
    </w:p>
    <w:p w14:paraId="09CC646F" w14:textId="77777777" w:rsidR="003B338F" w:rsidRDefault="003B338F">
      <w:pPr>
        <w:ind w:left="0" w:hanging="2"/>
        <w:jc w:val="both"/>
        <w:rPr>
          <w:rFonts w:ascii="Bookman Old Style" w:eastAsia="Bookman Old Style" w:hAnsi="Bookman Old Style" w:cs="Bookman Old Style"/>
        </w:rPr>
      </w:pPr>
    </w:p>
    <w:p w14:paraId="0135B7BE" w14:textId="77777777" w:rsidR="003B338F" w:rsidRDefault="003B338F">
      <w:pPr>
        <w:ind w:left="0" w:hanging="2"/>
        <w:jc w:val="both"/>
        <w:rPr>
          <w:rFonts w:ascii="Bookman Old Style" w:eastAsia="Bookman Old Style" w:hAnsi="Bookman Old Style" w:cs="Bookman Old Style"/>
        </w:rPr>
      </w:pPr>
    </w:p>
    <w:p w14:paraId="04D6971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6.1 Gas Safety</w:t>
      </w:r>
    </w:p>
    <w:p w14:paraId="376F277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Installation, maintenance and repair of gas appliances and fittings will be carried out by a competent Gas Safe registered engineer.</w:t>
      </w:r>
    </w:p>
    <w:p w14:paraId="3E4B05D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Gas pipework, appliances and flues are regularly maintained.</w:t>
      </w:r>
    </w:p>
    <w:p w14:paraId="5F2AF2D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All rooms with gas appliances are checked to ensure that they have adequate ventilation.</w:t>
      </w:r>
    </w:p>
    <w:p w14:paraId="0DB44DF3"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591F1D3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6.2 Legionella</w:t>
      </w:r>
    </w:p>
    <w:p w14:paraId="19AFF0A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 water risk assessment has been completed on 18</w:t>
      </w:r>
      <w:r>
        <w:rPr>
          <w:rFonts w:ascii="Bookman Old Style" w:eastAsia="Bookman Old Style" w:hAnsi="Bookman Old Style" w:cs="Bookman Old Style"/>
          <w:color w:val="000000"/>
          <w:sz w:val="20"/>
          <w:szCs w:val="20"/>
          <w:vertAlign w:val="superscript"/>
        </w:rPr>
        <w:t>th</w:t>
      </w:r>
      <w:r>
        <w:rPr>
          <w:rFonts w:ascii="Bookman Old Style" w:eastAsia="Bookman Old Style" w:hAnsi="Bookman Old Style" w:cs="Bookman Old Style"/>
          <w:color w:val="000000"/>
          <w:sz w:val="20"/>
          <w:szCs w:val="20"/>
        </w:rPr>
        <w:t xml:space="preserve"> October 2018 by Anglian Water. Christine Benjamin is responsible for ensuring that the identified operational controls are conducted and recorded in the school’s water log book.</w:t>
      </w:r>
    </w:p>
    <w:p w14:paraId="0DB07A02"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This risk assessment will be reviewed every 5 years and when significant changes have occurred to the water system and/or building footprint.</w:t>
      </w:r>
    </w:p>
    <w:p w14:paraId="464566C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 risks from legionella are mitigated by the following: temperature checks, heating of water and disinfection of showers.</w:t>
      </w:r>
    </w:p>
    <w:p w14:paraId="6F85E2FF"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7E623BA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6.3 Asbestos</w:t>
      </w:r>
    </w:p>
    <w:p w14:paraId="19969E6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Staff are briefed on the hazards of asbestos, the location of any asbestos in the school and the action to take if they suspect they have disturbed it.</w:t>
      </w:r>
    </w:p>
    <w:p w14:paraId="4246B1B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Arrangements are in place to ensure that contractors are made aware of any asbestos on the premises and that it is not disturbed by their work. </w:t>
      </w:r>
    </w:p>
    <w:p w14:paraId="2D1BFE4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Contractors will be advised that if they discover material which they suspect could be asbestos, they will stop work immediately until the area is declared safe.</w:t>
      </w:r>
    </w:p>
    <w:p w14:paraId="25F723B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 record is kept of the location of asbestos that has been found on the school site.</w:t>
      </w:r>
    </w:p>
    <w:p w14:paraId="152109BB"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2F7F08E7"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bookmarkStart w:id="11" w:name="_heading=h.2jxsxqh" w:colFirst="0" w:colLast="0"/>
      <w:bookmarkEnd w:id="11"/>
    </w:p>
    <w:p w14:paraId="378541B6"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Equipment</w:t>
      </w:r>
    </w:p>
    <w:p w14:paraId="0E36BB0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All equipment and machinery </w:t>
      </w:r>
      <w:proofErr w:type="gramStart"/>
      <w:r>
        <w:rPr>
          <w:rFonts w:ascii="Bookman Old Style" w:eastAsia="Bookman Old Style" w:hAnsi="Bookman Old Style" w:cs="Bookman Old Style"/>
          <w:color w:val="000000"/>
          <w:sz w:val="20"/>
          <w:szCs w:val="20"/>
        </w:rPr>
        <w:t>is</w:t>
      </w:r>
      <w:proofErr w:type="gramEnd"/>
      <w:r>
        <w:rPr>
          <w:rFonts w:ascii="Bookman Old Style" w:eastAsia="Bookman Old Style" w:hAnsi="Bookman Old Style" w:cs="Bookman Old Style"/>
          <w:color w:val="000000"/>
          <w:sz w:val="20"/>
          <w:szCs w:val="20"/>
        </w:rPr>
        <w:t xml:space="preserve"> maintained in accordance with the manufacturer’s instructions. In addition, maintenance schedules outline when extra checks should take place.</w:t>
      </w:r>
    </w:p>
    <w:p w14:paraId="64B1180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When new equipment is purchased, it is checked to ensure that it meets appropriate educational standards.</w:t>
      </w:r>
    </w:p>
    <w:p w14:paraId="78F4091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All equipment is stored in the appropriate storage containers and areas. All containers are labelled with the correct hazard sign and contents.</w:t>
      </w:r>
    </w:p>
    <w:p w14:paraId="450D2F1D" w14:textId="77777777" w:rsidR="003B338F" w:rsidRDefault="00000000">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 </w:t>
      </w:r>
    </w:p>
    <w:p w14:paraId="25D5464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7.1 Electrical Equipment</w:t>
      </w:r>
    </w:p>
    <w:p w14:paraId="01F5C400"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All staff are responsible for ensuring that they use and handle electrical equipment sensibly and safely</w:t>
      </w:r>
    </w:p>
    <w:p w14:paraId="4C6CDBF0"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Any pupil or volunteer who handles electrical appliances does so under the supervision of the member of staff who so directs them</w:t>
      </w:r>
    </w:p>
    <w:p w14:paraId="073E58E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Any potential hazards will be reported to Christine Benjamin immediately</w:t>
      </w:r>
    </w:p>
    <w:p w14:paraId="7DE5C180"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Permanently installed electrical equipment is connected through a dedicated isolator switch and adequately earthed</w:t>
      </w:r>
    </w:p>
    <w:p w14:paraId="723D4A0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Only trained staff members can check plugs</w:t>
      </w:r>
    </w:p>
    <w:p w14:paraId="344ECCF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Where necessary a portable appliance test (PAT) will be carried out by a competent person</w:t>
      </w:r>
    </w:p>
    <w:p w14:paraId="4E1AA78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All </w:t>
      </w:r>
      <w:proofErr w:type="gramStart"/>
      <w:r>
        <w:rPr>
          <w:rFonts w:ascii="Bookman Old Style" w:eastAsia="Bookman Old Style" w:hAnsi="Bookman Old Style" w:cs="Bookman Old Style"/>
          <w:color w:val="000000"/>
          <w:sz w:val="20"/>
          <w:szCs w:val="20"/>
        </w:rPr>
        <w:t>isolators</w:t>
      </w:r>
      <w:proofErr w:type="gramEnd"/>
      <w:r>
        <w:rPr>
          <w:rFonts w:ascii="Bookman Old Style" w:eastAsia="Bookman Old Style" w:hAnsi="Bookman Old Style" w:cs="Bookman Old Style"/>
          <w:color w:val="000000"/>
          <w:sz w:val="20"/>
          <w:szCs w:val="20"/>
        </w:rPr>
        <w:t xml:space="preserve"> switches are clearly marked to identify their machine</w:t>
      </w:r>
    </w:p>
    <w:p w14:paraId="6F9ABB6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Electrical apparatus and connections will not be touched by wet hands and will only be used in dry conditions</w:t>
      </w:r>
    </w:p>
    <w:p w14:paraId="1E14C0A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Maintenance, repair, installation and disconnection work associated with permanently installed or portable electrical equipment is only carried out by a competent person</w:t>
      </w:r>
    </w:p>
    <w:p w14:paraId="1D2EA25A"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2117239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7.2 PE Equipment</w:t>
      </w:r>
    </w:p>
    <w:p w14:paraId="0FBC7FD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Pupils are taught how to carry out and set up PE equipment safely and efficiently. Staff check that equipment is set up safely</w:t>
      </w:r>
    </w:p>
    <w:p w14:paraId="4D803E5B"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4BE5033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7.3 Display Screen Equipment</w:t>
      </w:r>
    </w:p>
    <w:p w14:paraId="2BB882B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All staff who use computers daily as a significant part of their normal work have a display screen equipment (DSE) assessment carried out. ‘Significant’ is taken to be continuous/near continuous spells of an hour or more at a time</w:t>
      </w:r>
    </w:p>
    <w:p w14:paraId="607B4905"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Staff identified as DSE users are entitled to an eyesight test for DSE use upon request, and at regular intervals thereafter, by a qualified optician (and corrective glasses provided if required specifically for DSE use)</w:t>
      </w:r>
    </w:p>
    <w:p w14:paraId="74AD3AE7"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34B993F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7.4 Specialist Equipment (when appropriate)</w:t>
      </w:r>
    </w:p>
    <w:p w14:paraId="4E6D97A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Parents are responsible for the maintenance and safety of their children’s wheelchairs. In school, staff promote the responsible use of wheelchairs.</w:t>
      </w:r>
    </w:p>
    <w:p w14:paraId="5D5F1132" w14:textId="77777777" w:rsidR="003B338F" w:rsidRDefault="00000000">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Oxygen cylinders are stored in a designated space, and staff are trained in the removal storage and replacement of oxygen cylinders.</w:t>
      </w:r>
    </w:p>
    <w:p w14:paraId="232381DC"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24398E78"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bookmarkStart w:id="12" w:name="_heading=h.z337ya" w:colFirst="0" w:colLast="0"/>
      <w:bookmarkEnd w:id="12"/>
    </w:p>
    <w:p w14:paraId="4F1B5840"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Lone Working</w:t>
      </w:r>
    </w:p>
    <w:p w14:paraId="6715741A" w14:textId="77777777" w:rsidR="003B338F" w:rsidRDefault="003B338F">
      <w:pPr>
        <w:ind w:left="0" w:hanging="2"/>
        <w:rPr>
          <w:rFonts w:ascii="Bookman Old Style" w:eastAsia="Bookman Old Style" w:hAnsi="Bookman Old Style" w:cs="Bookman Old Style"/>
        </w:rPr>
      </w:pPr>
    </w:p>
    <w:p w14:paraId="3D13F60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Lone working may include:</w:t>
      </w:r>
    </w:p>
    <w:p w14:paraId="41D1D8D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Late working</w:t>
      </w:r>
    </w:p>
    <w:p w14:paraId="2A794ED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Home or site visits</w:t>
      </w:r>
    </w:p>
    <w:p w14:paraId="0AD306B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Weekend working</w:t>
      </w:r>
    </w:p>
    <w:p w14:paraId="5CB58E8B"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Site manager duties</w:t>
      </w:r>
    </w:p>
    <w:p w14:paraId="3C2A523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Site cleaning duties</w:t>
      </w:r>
    </w:p>
    <w:p w14:paraId="3EA030F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Working in a single occupancy office</w:t>
      </w:r>
    </w:p>
    <w:p w14:paraId="2284382C" w14:textId="77777777" w:rsidR="003B338F" w:rsidRDefault="003B338F">
      <w:pPr>
        <w:ind w:left="0" w:hanging="2"/>
        <w:rPr>
          <w:rFonts w:ascii="Bookman Old Style" w:eastAsia="Bookman Old Style" w:hAnsi="Bookman Old Style" w:cs="Bookman Old Style"/>
        </w:rPr>
      </w:pPr>
    </w:p>
    <w:p w14:paraId="456BB6CB"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Potentially dangerous activities, such as those where there is a risk of falling from height, will not be undertaken when working alone. If there are any doubts about the task to be performed then the task will be postponed until other staff members are available.  If lone </w:t>
      </w:r>
      <w:r>
        <w:rPr>
          <w:rFonts w:ascii="Bookman Old Style" w:eastAsia="Bookman Old Style" w:hAnsi="Bookman Old Style" w:cs="Bookman Old Style"/>
        </w:rPr>
        <w:lastRenderedPageBreak/>
        <w:t xml:space="preserve">working is to be undertaken, a colleague, friend or family member will be informed about where the member of staff is and when they are likely to return. This may be done via the school </w:t>
      </w:r>
      <w:proofErr w:type="spellStart"/>
      <w:r>
        <w:rPr>
          <w:rFonts w:ascii="Bookman Old Style" w:eastAsia="Bookman Old Style" w:hAnsi="Bookman Old Style" w:cs="Bookman Old Style"/>
        </w:rPr>
        <w:t>Whatsapp</w:t>
      </w:r>
      <w:proofErr w:type="spellEnd"/>
      <w:r>
        <w:rPr>
          <w:rFonts w:ascii="Bookman Old Style" w:eastAsia="Bookman Old Style" w:hAnsi="Bookman Old Style" w:cs="Bookman Old Style"/>
        </w:rPr>
        <w:t xml:space="preserve"> group.</w:t>
      </w:r>
    </w:p>
    <w:p w14:paraId="5050562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lone worker will ensure that they are medically fit to work alone.</w:t>
      </w:r>
    </w:p>
    <w:p w14:paraId="3506BA50" w14:textId="77777777" w:rsidR="003B338F" w:rsidRDefault="003B338F">
      <w:pPr>
        <w:ind w:left="0" w:hanging="2"/>
        <w:jc w:val="both"/>
        <w:rPr>
          <w:rFonts w:ascii="Bookman Old Style" w:eastAsia="Bookman Old Style" w:hAnsi="Bookman Old Style" w:cs="Bookman Old Style"/>
        </w:rPr>
      </w:pPr>
    </w:p>
    <w:p w14:paraId="5E267138" w14:textId="77777777" w:rsidR="003B338F" w:rsidRDefault="003B338F">
      <w:pPr>
        <w:ind w:left="0" w:hanging="2"/>
        <w:jc w:val="both"/>
        <w:rPr>
          <w:rFonts w:ascii="Bookman Old Style" w:eastAsia="Bookman Old Style" w:hAnsi="Bookman Old Style" w:cs="Bookman Old Style"/>
        </w:rPr>
      </w:pPr>
    </w:p>
    <w:p w14:paraId="03D2493D" w14:textId="77777777" w:rsidR="003B338F" w:rsidRDefault="003B338F">
      <w:pPr>
        <w:ind w:left="0" w:hanging="2"/>
        <w:jc w:val="both"/>
        <w:rPr>
          <w:rFonts w:ascii="Bookman Old Style" w:eastAsia="Bookman Old Style" w:hAnsi="Bookman Old Style" w:cs="Bookman Old Style"/>
        </w:rPr>
      </w:pPr>
      <w:bookmarkStart w:id="13" w:name="_heading=h.3j2qqm3" w:colFirst="0" w:colLast="0"/>
      <w:bookmarkEnd w:id="13"/>
    </w:p>
    <w:p w14:paraId="35505F1C"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 xml:space="preserve">Working at Height </w:t>
      </w:r>
    </w:p>
    <w:p w14:paraId="675D869E" w14:textId="77777777" w:rsidR="003B338F" w:rsidRDefault="003B338F">
      <w:pPr>
        <w:ind w:left="0" w:hanging="2"/>
        <w:rPr>
          <w:rFonts w:ascii="Bookman Old Style" w:eastAsia="Bookman Old Style" w:hAnsi="Bookman Old Style" w:cs="Bookman Old Style"/>
        </w:rPr>
      </w:pPr>
    </w:p>
    <w:p w14:paraId="0A02464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We will ensure that work is properly planned, supervised and carried out by competent people with the skills, knowledge and experience to do the work. </w:t>
      </w:r>
    </w:p>
    <w:p w14:paraId="144DB97A" w14:textId="77777777" w:rsidR="003B338F" w:rsidRDefault="003B338F">
      <w:pPr>
        <w:ind w:left="0" w:hanging="2"/>
        <w:rPr>
          <w:rFonts w:ascii="Bookman Old Style" w:eastAsia="Bookman Old Style" w:hAnsi="Bookman Old Style" w:cs="Bookman Old Style"/>
        </w:rPr>
      </w:pPr>
    </w:p>
    <w:p w14:paraId="04D147F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In addition:</w:t>
      </w:r>
    </w:p>
    <w:p w14:paraId="6BC20BD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 Business Manager</w:t>
      </w:r>
      <w:r>
        <w:rPr>
          <w:rFonts w:ascii="Bookman Old Style" w:eastAsia="Bookman Old Style" w:hAnsi="Bookman Old Style" w:cs="Bookman Old Style"/>
          <w:color w:val="F15F22"/>
          <w:sz w:val="20"/>
          <w:szCs w:val="20"/>
        </w:rPr>
        <w:t xml:space="preserve"> </w:t>
      </w:r>
      <w:r>
        <w:rPr>
          <w:rFonts w:ascii="Bookman Old Style" w:eastAsia="Bookman Old Style" w:hAnsi="Bookman Old Style" w:cs="Bookman Old Style"/>
          <w:color w:val="000000"/>
          <w:sz w:val="20"/>
          <w:szCs w:val="20"/>
        </w:rPr>
        <w:t>retains ladders for working at height (Clare building only).</w:t>
      </w:r>
    </w:p>
    <w:p w14:paraId="0E4C494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Pupils are prohibited from using ladders.</w:t>
      </w:r>
    </w:p>
    <w:p w14:paraId="1FA35E64"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Staff will wear appropriate footwear and clothing when using ladders.</w:t>
      </w:r>
    </w:p>
    <w:p w14:paraId="5968EE0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Contractors are expected to provide their own ladders for working at height.</w:t>
      </w:r>
    </w:p>
    <w:p w14:paraId="297F87B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Before using a ladder, staff are expected to conduct a visual inspection to ensure its safety.</w:t>
      </w:r>
    </w:p>
    <w:p w14:paraId="1C871C4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Access to high levels, such as roofs, is only permitted by trained persons.</w:t>
      </w:r>
    </w:p>
    <w:p w14:paraId="06558A1F"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bookmarkStart w:id="14" w:name="_heading=h.1y810tw" w:colFirst="0" w:colLast="0"/>
      <w:bookmarkEnd w:id="14"/>
    </w:p>
    <w:p w14:paraId="1AA07A11"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Manual Handling</w:t>
      </w:r>
    </w:p>
    <w:p w14:paraId="19779780" w14:textId="77777777" w:rsidR="003B338F" w:rsidRDefault="003B338F">
      <w:pPr>
        <w:ind w:left="0" w:hanging="2"/>
        <w:rPr>
          <w:rFonts w:ascii="Bookman Old Style" w:eastAsia="Bookman Old Style" w:hAnsi="Bookman Old Style" w:cs="Bookman Old Style"/>
        </w:rPr>
      </w:pPr>
    </w:p>
    <w:p w14:paraId="1BFBBB4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It is up to individuals to determine whether they are fit to lift or move equipment and furniture. If an individual feels that to lift an item could result in injury or exacerbate an existing condition, they will ask for assistance.</w:t>
      </w:r>
    </w:p>
    <w:p w14:paraId="234B7778" w14:textId="77777777" w:rsidR="003B338F" w:rsidRDefault="003B338F">
      <w:pPr>
        <w:ind w:left="0" w:hanging="2"/>
        <w:jc w:val="both"/>
        <w:rPr>
          <w:rFonts w:ascii="Bookman Old Style" w:eastAsia="Bookman Old Style" w:hAnsi="Bookman Old Style" w:cs="Bookman Old Style"/>
        </w:rPr>
      </w:pPr>
    </w:p>
    <w:p w14:paraId="2132FBAE"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school will ensure that proper mechanical aids and lifting equipment are available in school, and that staff are trained in how to use them safely.</w:t>
      </w:r>
    </w:p>
    <w:p w14:paraId="3BEE07D2" w14:textId="77777777" w:rsidR="003B338F" w:rsidRDefault="003B338F">
      <w:pPr>
        <w:ind w:left="0" w:hanging="2"/>
        <w:jc w:val="both"/>
        <w:rPr>
          <w:rFonts w:ascii="Bookman Old Style" w:eastAsia="Bookman Old Style" w:hAnsi="Bookman Old Style" w:cs="Bookman Old Style"/>
        </w:rPr>
      </w:pPr>
    </w:p>
    <w:p w14:paraId="35AED350"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Staff and pupils are expected to use the following basic manual handling procedure:</w:t>
      </w:r>
    </w:p>
    <w:p w14:paraId="0EED7D9B" w14:textId="77777777" w:rsidR="003B338F" w:rsidRDefault="003B338F">
      <w:pPr>
        <w:ind w:left="0" w:hanging="2"/>
        <w:jc w:val="both"/>
        <w:rPr>
          <w:rFonts w:ascii="Bookman Old Style" w:eastAsia="Bookman Old Style" w:hAnsi="Bookman Old Style" w:cs="Bookman Old Style"/>
        </w:rPr>
      </w:pPr>
    </w:p>
    <w:p w14:paraId="47F8591B"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Plan the lift and assess the load. If it is awkward or heavy, use a mechanical aid, such as a trolley, or ask another person to help.</w:t>
      </w:r>
    </w:p>
    <w:p w14:paraId="1D7F4AAF"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Take the more direct route that is clear from obstruction and is as flat as possible.</w:t>
      </w:r>
    </w:p>
    <w:p w14:paraId="3760E84D"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Ensure the area where you plan to offload the load is clear.</w:t>
      </w:r>
    </w:p>
    <w:p w14:paraId="1BBCABD0"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When lifting, bend your knees and keep your back straight, feet apart and angled out. Ensure the load is held close to the body and firmly. Lift smoothly and slowly and avoid twisting, stretching and reaching where practicable.</w:t>
      </w:r>
    </w:p>
    <w:p w14:paraId="30181C3C" w14:textId="77777777" w:rsidR="003B338F" w:rsidRDefault="003B338F">
      <w:p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p>
    <w:p w14:paraId="28000330" w14:textId="77777777" w:rsidR="003B338F" w:rsidRDefault="003B338F">
      <w:p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bookmarkStart w:id="15" w:name="_heading=h.4i7ojhp" w:colFirst="0" w:colLast="0"/>
      <w:bookmarkEnd w:id="15"/>
    </w:p>
    <w:p w14:paraId="238716AA"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Off-site Visits</w:t>
      </w:r>
    </w:p>
    <w:p w14:paraId="107D4383" w14:textId="77777777" w:rsidR="003B338F" w:rsidRDefault="003B338F">
      <w:pPr>
        <w:ind w:left="0" w:hanging="2"/>
        <w:rPr>
          <w:rFonts w:ascii="Bookman Old Style" w:eastAsia="Bookman Old Style" w:hAnsi="Bookman Old Style" w:cs="Bookman Old Style"/>
        </w:rPr>
      </w:pPr>
    </w:p>
    <w:p w14:paraId="3093C49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When taking pupils off the school premises, we will ensure that:</w:t>
      </w:r>
    </w:p>
    <w:p w14:paraId="2FE8CF8F"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Risk assessments will be completed where off-site visits and activities require them.</w:t>
      </w:r>
    </w:p>
    <w:p w14:paraId="116F757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All off-site visits are appropriately staffed. </w:t>
      </w:r>
    </w:p>
    <w:p w14:paraId="7BFA523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Staff will take a school mobile phone, a portable first aid kit, information about the specific medical needs of pupils along with the parents’ contact details. </w:t>
      </w:r>
    </w:p>
    <w:p w14:paraId="4D31B93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There will always be at least one first aider on school trips and visits.</w:t>
      </w:r>
    </w:p>
    <w:p w14:paraId="079C334D"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0E68D828"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bookmarkStart w:id="16" w:name="_heading=h.2xcytpi" w:colFirst="0" w:colLast="0"/>
      <w:bookmarkEnd w:id="16"/>
    </w:p>
    <w:p w14:paraId="67393F6F"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Violence at Work</w:t>
      </w:r>
    </w:p>
    <w:p w14:paraId="1A437B6A" w14:textId="77777777" w:rsidR="003B338F" w:rsidRDefault="003B338F">
      <w:pPr>
        <w:ind w:left="0" w:hanging="2"/>
        <w:rPr>
          <w:rFonts w:ascii="Bookman Old Style" w:eastAsia="Bookman Old Style" w:hAnsi="Bookman Old Style" w:cs="Bookman Old Style"/>
        </w:rPr>
      </w:pPr>
    </w:p>
    <w:p w14:paraId="29E24F2D"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We believe that staff should not be in any danger at work, and will not tolerate violent or threatening behaviour towards our staff.  All staff will report any incidents of aggression or violence (or near misses) directed to themselves to their line manager/headteacher immediately. This applies to violence from pupils, visitors or other staff.</w:t>
      </w:r>
    </w:p>
    <w:p w14:paraId="6A0437A1" w14:textId="77777777" w:rsidR="003B338F" w:rsidRDefault="003B338F">
      <w:pPr>
        <w:ind w:left="0" w:hanging="2"/>
        <w:jc w:val="both"/>
        <w:rPr>
          <w:rFonts w:ascii="Bookman Old Style" w:eastAsia="Bookman Old Style" w:hAnsi="Bookman Old Style" w:cs="Bookman Old Style"/>
        </w:rPr>
      </w:pPr>
    </w:p>
    <w:p w14:paraId="3ED703DD" w14:textId="77777777" w:rsidR="003B338F" w:rsidRDefault="003B338F">
      <w:pPr>
        <w:ind w:left="0" w:hanging="2"/>
        <w:jc w:val="both"/>
        <w:rPr>
          <w:rFonts w:ascii="Bookman Old Style" w:eastAsia="Bookman Old Style" w:hAnsi="Bookman Old Style" w:cs="Bookman Old Style"/>
        </w:rPr>
      </w:pPr>
    </w:p>
    <w:p w14:paraId="59BC1019" w14:textId="77777777" w:rsidR="003B338F" w:rsidRDefault="003B338F">
      <w:pPr>
        <w:ind w:left="0" w:hanging="2"/>
        <w:jc w:val="both"/>
        <w:rPr>
          <w:rFonts w:ascii="Bookman Old Style" w:eastAsia="Bookman Old Style" w:hAnsi="Bookman Old Style" w:cs="Bookman Old Style"/>
        </w:rPr>
      </w:pPr>
    </w:p>
    <w:p w14:paraId="1EC26E9E"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 xml:space="preserve"> Smoking</w:t>
      </w:r>
    </w:p>
    <w:p w14:paraId="241A6D94" w14:textId="77777777" w:rsidR="003B338F" w:rsidRDefault="003B338F">
      <w:pPr>
        <w:ind w:left="0" w:hanging="2"/>
        <w:rPr>
          <w:rFonts w:ascii="Bookman Old Style" w:eastAsia="Bookman Old Style" w:hAnsi="Bookman Old Style" w:cs="Bookman Old Style"/>
        </w:rPr>
      </w:pPr>
    </w:p>
    <w:p w14:paraId="24EA99D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Smoking is not permitted anywhere on the school premises. When entering and exiting the school building for breaks, staff must sign in and out using </w:t>
      </w:r>
      <w:proofErr w:type="spellStart"/>
      <w:r>
        <w:rPr>
          <w:rFonts w:ascii="Bookman Old Style" w:eastAsia="Bookman Old Style" w:hAnsi="Bookman Old Style" w:cs="Bookman Old Style"/>
        </w:rPr>
        <w:t>InVentry</w:t>
      </w:r>
      <w:proofErr w:type="spellEnd"/>
      <w:r>
        <w:rPr>
          <w:rFonts w:ascii="Bookman Old Style" w:eastAsia="Bookman Old Style" w:hAnsi="Bookman Old Style" w:cs="Bookman Old Style"/>
        </w:rPr>
        <w:t>.</w:t>
      </w:r>
    </w:p>
    <w:p w14:paraId="571D779E" w14:textId="77777777" w:rsidR="003B338F" w:rsidRDefault="003B338F">
      <w:pPr>
        <w:ind w:left="0" w:hanging="2"/>
        <w:rPr>
          <w:rFonts w:ascii="Bookman Old Style" w:eastAsia="Bookman Old Style" w:hAnsi="Bookman Old Style" w:cs="Bookman Old Style"/>
        </w:rPr>
      </w:pPr>
    </w:p>
    <w:p w14:paraId="2082DB6A" w14:textId="77777777" w:rsidR="003B338F" w:rsidRDefault="003B338F">
      <w:pPr>
        <w:ind w:left="0" w:hanging="2"/>
        <w:rPr>
          <w:rFonts w:ascii="Bookman Old Style" w:eastAsia="Bookman Old Style" w:hAnsi="Bookman Old Style" w:cs="Bookman Old Style"/>
        </w:rPr>
      </w:pPr>
    </w:p>
    <w:p w14:paraId="57284461" w14:textId="77777777" w:rsidR="003B338F" w:rsidRDefault="003B338F">
      <w:pPr>
        <w:ind w:left="0" w:hanging="2"/>
        <w:rPr>
          <w:rFonts w:ascii="Bookman Old Style" w:eastAsia="Bookman Old Style" w:hAnsi="Bookman Old Style" w:cs="Bookman Old Style"/>
        </w:rPr>
      </w:pPr>
      <w:bookmarkStart w:id="17" w:name="_heading=h.1ci93xb" w:colFirst="0" w:colLast="0"/>
      <w:bookmarkEnd w:id="17"/>
    </w:p>
    <w:p w14:paraId="3ED41308"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Infection Prevention and Control</w:t>
      </w:r>
    </w:p>
    <w:p w14:paraId="68EAF2EB" w14:textId="77777777" w:rsidR="003B338F" w:rsidRDefault="003B338F">
      <w:pPr>
        <w:ind w:left="0" w:hanging="2"/>
        <w:rPr>
          <w:rFonts w:ascii="Bookman Old Style" w:eastAsia="Bookman Old Style" w:hAnsi="Bookman Old Style" w:cs="Bookman Old Style"/>
        </w:rPr>
      </w:pPr>
    </w:p>
    <w:p w14:paraId="1876197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We follow national guidance published by Public Health England when responding to infection control issues. We will encourage staff and pupils to follow this good hygiene practice, outlined below, where applicable. </w:t>
      </w:r>
    </w:p>
    <w:p w14:paraId="05BC640C" w14:textId="77777777" w:rsidR="003B338F" w:rsidRDefault="003B338F">
      <w:pPr>
        <w:ind w:left="0" w:hanging="2"/>
        <w:rPr>
          <w:rFonts w:ascii="Bookman Old Style" w:eastAsia="Bookman Old Style" w:hAnsi="Bookman Old Style" w:cs="Bookman Old Style"/>
        </w:rPr>
      </w:pPr>
    </w:p>
    <w:p w14:paraId="2756C41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14.1 Handwashing</w:t>
      </w:r>
    </w:p>
    <w:p w14:paraId="46ADE59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Wash hands with liquid soap and warm water, and dry with paper towels.</w:t>
      </w:r>
    </w:p>
    <w:p w14:paraId="184D00DC"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Always wash hands after using the toilet, before eating or handling food, and after handling animals.</w:t>
      </w:r>
    </w:p>
    <w:p w14:paraId="5D26C43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Cover all cuts and abrasions with waterproof dressings.</w:t>
      </w:r>
    </w:p>
    <w:p w14:paraId="3341AEEC"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79E057C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14.2 Coughing and Sneezing</w:t>
      </w:r>
    </w:p>
    <w:p w14:paraId="2E93F7B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Cover mouth and nose with a tissue.</w:t>
      </w:r>
    </w:p>
    <w:p w14:paraId="7D92BE2E"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Wash hands after using or disposing of tissues.</w:t>
      </w:r>
    </w:p>
    <w:p w14:paraId="0196EC57"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Spitting is discouraged.</w:t>
      </w:r>
    </w:p>
    <w:p w14:paraId="15F58260"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06975C4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14.3 Personal Protective Equipment</w:t>
      </w:r>
    </w:p>
    <w:p w14:paraId="77BB754E"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Wear disposable non-powdered vinyl or latex-free CE-marked gloves and disposable plastic aprons where there is a risk of splashing or contamination with blood/body fluids (for example, nappy or pad changing).</w:t>
      </w:r>
    </w:p>
    <w:p w14:paraId="6D90164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Wear goggles if there is a risk of splashing to the face.</w:t>
      </w:r>
    </w:p>
    <w:p w14:paraId="4BB46BD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Use the correct personal protective equipment when handling cleaning chemicals.</w:t>
      </w:r>
    </w:p>
    <w:p w14:paraId="639A68FA"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35BA366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14.4 Cleaning of the Environment</w:t>
      </w:r>
    </w:p>
    <w:p w14:paraId="43C609B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Clean the environment frequently and thoroughly.</w:t>
      </w:r>
    </w:p>
    <w:p w14:paraId="1F6FE529"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22B71F6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14.5 Cleaning of Blood and Body Fluid Spillages</w:t>
      </w:r>
    </w:p>
    <w:p w14:paraId="663C6D29"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Clean up all spillages of blood, faeces, saliva, vomit, nasal and eye discharges immediately and wear personal protective equipment. </w:t>
      </w:r>
    </w:p>
    <w:p w14:paraId="3734A752"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lastRenderedPageBreak/>
        <w:t>When spillages occur, clean using a product that combines both a detergent and a disinfectant and use as per manufacturer’s instructions. Ensure it is effective against bacteria and viruses and suitable for use on the affected surface.</w:t>
      </w:r>
    </w:p>
    <w:p w14:paraId="7A03BE11"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Never use mops for cleaning up blood and body fluid spillages – use disposable paper towels and discard clinical waste as described below.</w:t>
      </w:r>
    </w:p>
    <w:p w14:paraId="7C9F84B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Make spillage kits available for blood spills.</w:t>
      </w:r>
    </w:p>
    <w:p w14:paraId="0EB43C87" w14:textId="77777777" w:rsidR="003B338F" w:rsidRDefault="00000000">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 </w:t>
      </w:r>
    </w:p>
    <w:p w14:paraId="3382AFE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14.6 Animals</w:t>
      </w:r>
    </w:p>
    <w:p w14:paraId="37A2245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Wash hands before and after handling any animals.</w:t>
      </w:r>
    </w:p>
    <w:p w14:paraId="625973D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Keep animals’ living quarters clean and away from food areas.</w:t>
      </w:r>
    </w:p>
    <w:p w14:paraId="1CBD4B68"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Dispose of animal waste regularly, and keep litter boxes away from pupils.</w:t>
      </w:r>
    </w:p>
    <w:p w14:paraId="2502A1E2"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Supervise pupils when playing with animals. </w:t>
      </w:r>
    </w:p>
    <w:p w14:paraId="7109316B"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Seek veterinary advice on animal welfare and animal health issues, and the suitability of the animal as a pet. </w:t>
      </w:r>
    </w:p>
    <w:p w14:paraId="08B9B94E"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p>
    <w:p w14:paraId="58069A4F"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14.7 Pupils Vulnerable to Infection</w:t>
      </w:r>
    </w:p>
    <w:p w14:paraId="105AB2A7" w14:textId="77777777" w:rsidR="003B338F" w:rsidRDefault="003B338F">
      <w:pPr>
        <w:ind w:left="0" w:hanging="2"/>
        <w:rPr>
          <w:rFonts w:ascii="Bookman Old Style" w:eastAsia="Bookman Old Style" w:hAnsi="Bookman Old Style" w:cs="Bookman Old Style"/>
        </w:rPr>
      </w:pPr>
    </w:p>
    <w:p w14:paraId="02845E0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Some medical conditions make pupils vulnerable to infections that would rarely be serious in most children. The school will normally have been made aware of such vulnerable children. These children are particularly vulnerable to chickenpox, measles or slapped cheek disease (parvovirus B19) and, if exposed to either of these, the parent/carer will be informed promptly and further medical advice sought.  We will advise these children to have additional immunisations, for example for pneumococcal and influenza. </w:t>
      </w:r>
    </w:p>
    <w:p w14:paraId="2B16FBB8" w14:textId="77777777" w:rsidR="003B338F" w:rsidRDefault="003B338F">
      <w:pPr>
        <w:ind w:left="0" w:hanging="2"/>
        <w:jc w:val="both"/>
        <w:rPr>
          <w:rFonts w:ascii="Bookman Old Style" w:eastAsia="Bookman Old Style" w:hAnsi="Bookman Old Style" w:cs="Bookman Old Style"/>
        </w:rPr>
      </w:pPr>
    </w:p>
    <w:p w14:paraId="2BC393E5" w14:textId="77777777" w:rsidR="003B338F" w:rsidRDefault="003B338F">
      <w:pPr>
        <w:ind w:left="0" w:hanging="2"/>
        <w:jc w:val="both"/>
        <w:rPr>
          <w:rFonts w:ascii="Bookman Old Style" w:eastAsia="Bookman Old Style" w:hAnsi="Bookman Old Style" w:cs="Bookman Old Style"/>
        </w:rPr>
      </w:pPr>
    </w:p>
    <w:p w14:paraId="090D7EB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14.8 Exclusion Periods for Infectious Diseases</w:t>
      </w:r>
    </w:p>
    <w:p w14:paraId="65C26FF1" w14:textId="77777777" w:rsidR="003B338F" w:rsidRDefault="003B338F">
      <w:pPr>
        <w:ind w:left="0" w:hanging="2"/>
        <w:rPr>
          <w:rFonts w:ascii="Bookman Old Style" w:eastAsia="Bookman Old Style" w:hAnsi="Bookman Old Style" w:cs="Bookman Old Style"/>
        </w:rPr>
      </w:pPr>
    </w:p>
    <w:p w14:paraId="6F4D655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The school will follow recommended exclusion periods outlined by Public Health England.</w:t>
      </w:r>
    </w:p>
    <w:p w14:paraId="0736817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In the event of an epidemic/pandemic, we will follow advice from Public Health England about the appropriate course of action.</w:t>
      </w:r>
    </w:p>
    <w:p w14:paraId="5110B22D" w14:textId="77777777" w:rsidR="003B338F" w:rsidRDefault="003B338F">
      <w:pPr>
        <w:ind w:left="0" w:hanging="2"/>
        <w:rPr>
          <w:rFonts w:ascii="Bookman Old Style" w:eastAsia="Bookman Old Style" w:hAnsi="Bookman Old Style" w:cs="Bookman Old Style"/>
        </w:rPr>
      </w:pPr>
    </w:p>
    <w:p w14:paraId="0890584B" w14:textId="77777777" w:rsidR="003B338F" w:rsidRDefault="003B338F">
      <w:pPr>
        <w:ind w:left="0" w:hanging="2"/>
        <w:rPr>
          <w:rFonts w:ascii="Bookman Old Style" w:eastAsia="Bookman Old Style" w:hAnsi="Bookman Old Style" w:cs="Bookman Old Style"/>
        </w:rPr>
      </w:pPr>
    </w:p>
    <w:p w14:paraId="2497F6F6" w14:textId="77777777" w:rsidR="003B338F" w:rsidRDefault="003B338F">
      <w:pPr>
        <w:ind w:left="0" w:hanging="2"/>
        <w:rPr>
          <w:rFonts w:ascii="Bookman Old Style" w:eastAsia="Bookman Old Style" w:hAnsi="Bookman Old Style" w:cs="Bookman Old Style"/>
        </w:rPr>
      </w:pPr>
      <w:bookmarkStart w:id="18" w:name="_heading=h.3whwml4" w:colFirst="0" w:colLast="0"/>
      <w:bookmarkEnd w:id="18"/>
    </w:p>
    <w:p w14:paraId="74E9FA4E"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New and Expectant Mothers</w:t>
      </w:r>
    </w:p>
    <w:p w14:paraId="4F34725A" w14:textId="77777777" w:rsidR="003B338F" w:rsidRDefault="003B338F">
      <w:pPr>
        <w:ind w:left="0" w:hanging="2"/>
        <w:rPr>
          <w:rFonts w:ascii="Bookman Old Style" w:eastAsia="Bookman Old Style" w:hAnsi="Bookman Old Style" w:cs="Bookman Old Style"/>
        </w:rPr>
      </w:pPr>
    </w:p>
    <w:p w14:paraId="2A13D5D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Risk assessments will be carried out whenever any employee or pupil notifies the school that they are pregnant.  Appropriate measures will be put in place to control risks identified. Some specific risks are summarised below:</w:t>
      </w:r>
    </w:p>
    <w:p w14:paraId="55FE74B6"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Chickenpox can affect the pregnancy if a woman has not already had the infection. Expectant mothers should report exposure to antenatal carer and GP at any stage of exposure. Shingles is caused by the same virus as chickenpox, so anyone who has not had chickenpox is potentially vulnerable to the infection if they have close contact with a case of shingles.</w:t>
      </w:r>
    </w:p>
    <w:p w14:paraId="1DD05664"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If a pregnant woman comes into contact with measles or German measles (rubella), she should inform her antenatal carer and GP immediately to ensure investigation.</w:t>
      </w:r>
    </w:p>
    <w:p w14:paraId="5C8EFFDC" w14:textId="77777777" w:rsidR="003B338F" w:rsidRDefault="00000000">
      <w:pPr>
        <w:numPr>
          <w:ilvl w:val="0"/>
          <w:numId w:val="3"/>
        </w:num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Slapped cheek disease (parvovirus B19) can occasionally affect an unborn child. If exposed early in pregnancy (before 20 weeks), the pregnant woman should inform her antenatal care and GP as this must be investigated promptly.</w:t>
      </w:r>
    </w:p>
    <w:p w14:paraId="74FA8A56" w14:textId="77777777" w:rsidR="003B338F" w:rsidRDefault="003B338F">
      <w:pPr>
        <w:pBdr>
          <w:top w:val="nil"/>
          <w:left w:val="nil"/>
          <w:bottom w:val="nil"/>
          <w:right w:val="nil"/>
          <w:between w:val="nil"/>
        </w:pBdr>
        <w:spacing w:before="120" w:after="120" w:line="240" w:lineRule="auto"/>
        <w:ind w:left="0" w:hanging="2"/>
        <w:jc w:val="both"/>
        <w:rPr>
          <w:rFonts w:ascii="Bookman Old Style" w:eastAsia="Bookman Old Style" w:hAnsi="Bookman Old Style" w:cs="Bookman Old Style"/>
          <w:color w:val="000000"/>
          <w:sz w:val="20"/>
          <w:szCs w:val="20"/>
        </w:rPr>
      </w:pPr>
    </w:p>
    <w:p w14:paraId="4A9A0944" w14:textId="77777777" w:rsidR="003B338F" w:rsidRDefault="003B338F">
      <w:pPr>
        <w:ind w:left="0" w:hanging="2"/>
        <w:rPr>
          <w:rFonts w:ascii="Bookman Old Style" w:eastAsia="Bookman Old Style" w:hAnsi="Bookman Old Style" w:cs="Bookman Old Style"/>
        </w:rPr>
      </w:pPr>
      <w:bookmarkStart w:id="19" w:name="_heading=h.2bn6wsx" w:colFirst="0" w:colLast="0"/>
      <w:bookmarkEnd w:id="19"/>
    </w:p>
    <w:p w14:paraId="126251A5"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lastRenderedPageBreak/>
        <w:t>Occupational Stress</w:t>
      </w:r>
    </w:p>
    <w:p w14:paraId="60E2D58C" w14:textId="77777777" w:rsidR="003B338F" w:rsidRDefault="003B338F">
      <w:pPr>
        <w:ind w:left="0" w:hanging="2"/>
        <w:rPr>
          <w:rFonts w:ascii="Bookman Old Style" w:eastAsia="Bookman Old Style" w:hAnsi="Bookman Old Style" w:cs="Bookman Old Style"/>
        </w:rPr>
      </w:pPr>
    </w:p>
    <w:p w14:paraId="792734F2"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We are committed to promoting high levels of health and wellbeing and recognise the importance of identifying and reducing workplace stressors through risk assessment.  Systems are in place within the school for responding to individual concerns and monitoring staff workloads. </w:t>
      </w:r>
    </w:p>
    <w:p w14:paraId="702726FD" w14:textId="77777777" w:rsidR="003B338F" w:rsidRDefault="003B338F">
      <w:pPr>
        <w:ind w:left="0" w:hanging="2"/>
        <w:rPr>
          <w:rFonts w:ascii="Bookman Old Style" w:eastAsia="Bookman Old Style" w:hAnsi="Bookman Old Style" w:cs="Bookman Old Style"/>
        </w:rPr>
      </w:pPr>
    </w:p>
    <w:p w14:paraId="290FBA83" w14:textId="77777777" w:rsidR="003B338F" w:rsidRDefault="003B338F">
      <w:pPr>
        <w:ind w:left="0" w:hanging="2"/>
        <w:rPr>
          <w:rFonts w:ascii="Bookman Old Style" w:eastAsia="Bookman Old Style" w:hAnsi="Bookman Old Style" w:cs="Bookman Old Style"/>
        </w:rPr>
      </w:pPr>
      <w:bookmarkStart w:id="20" w:name="_heading=h.qsh70q" w:colFirst="0" w:colLast="0"/>
      <w:bookmarkEnd w:id="20"/>
    </w:p>
    <w:p w14:paraId="5B72FE24"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Accident Reporting</w:t>
      </w:r>
    </w:p>
    <w:p w14:paraId="658CA103" w14:textId="77777777" w:rsidR="003B338F" w:rsidRDefault="003B338F">
      <w:pPr>
        <w:ind w:left="0" w:hanging="2"/>
        <w:rPr>
          <w:rFonts w:ascii="Bookman Old Style" w:eastAsia="Bookman Old Style" w:hAnsi="Bookman Old Style" w:cs="Bookman Old Style"/>
        </w:rPr>
      </w:pPr>
    </w:p>
    <w:p w14:paraId="5F09EC8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17.1 Accident Record Book</w:t>
      </w:r>
    </w:p>
    <w:p w14:paraId="1AC4856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An accident form will be completed as soon as possible after the accident occurs by the member of staff or first aider who deals with it. An accident form template can be found in appendix 2.</w:t>
      </w:r>
    </w:p>
    <w:p w14:paraId="003DE83B"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As much detail as possible will be supplied when reporting an accident.</w:t>
      </w:r>
    </w:p>
    <w:p w14:paraId="6202DAED"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Information about injuries will also be kept in the pupil’s educational record.</w:t>
      </w:r>
    </w:p>
    <w:p w14:paraId="2295987B"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Records held in </w:t>
      </w:r>
      <w:r>
        <w:rPr>
          <w:rFonts w:ascii="Bookman Old Style" w:eastAsia="Bookman Old Style" w:hAnsi="Bookman Old Style" w:cs="Bookman Old Style"/>
          <w:sz w:val="20"/>
          <w:szCs w:val="20"/>
        </w:rPr>
        <w:t>Arbor and</w:t>
      </w:r>
      <w:r>
        <w:rPr>
          <w:rFonts w:ascii="Bookman Old Style" w:eastAsia="Bookman Old Style" w:hAnsi="Bookman Old Style" w:cs="Bookman Old Style"/>
          <w:color w:val="000000"/>
          <w:sz w:val="20"/>
          <w:szCs w:val="20"/>
        </w:rPr>
        <w:t xml:space="preserve"> will be retained by the school for a minimum of 3</w:t>
      </w:r>
      <w:r>
        <w:rPr>
          <w:rFonts w:ascii="Bookman Old Style" w:eastAsia="Bookman Old Style" w:hAnsi="Bookman Old Style" w:cs="Bookman Old Style"/>
          <w:color w:val="F15F22"/>
          <w:sz w:val="20"/>
          <w:szCs w:val="20"/>
        </w:rPr>
        <w:t xml:space="preserve"> </w:t>
      </w:r>
      <w:r>
        <w:rPr>
          <w:rFonts w:ascii="Bookman Old Style" w:eastAsia="Bookman Old Style" w:hAnsi="Bookman Old Style" w:cs="Bookman Old Style"/>
          <w:color w:val="000000"/>
          <w:sz w:val="20"/>
          <w:szCs w:val="20"/>
        </w:rPr>
        <w:t xml:space="preserve">years, in accordance with regulation 25 of the Social Security (Claims and Payments) Regulations 1979, and then </w:t>
      </w:r>
      <w:r>
        <w:rPr>
          <w:rFonts w:ascii="Bookman Old Style" w:eastAsia="Bookman Old Style" w:hAnsi="Bookman Old Style" w:cs="Bookman Old Style"/>
          <w:sz w:val="20"/>
          <w:szCs w:val="20"/>
        </w:rPr>
        <w:t>archived when a pupil or staff member is archived on Arbor</w:t>
      </w:r>
      <w:r>
        <w:rPr>
          <w:rFonts w:ascii="Bookman Old Style" w:eastAsia="Bookman Old Style" w:hAnsi="Bookman Old Style" w:cs="Bookman Old Style"/>
          <w:color w:val="000000"/>
          <w:sz w:val="20"/>
          <w:szCs w:val="20"/>
        </w:rPr>
        <w:t>.</w:t>
      </w:r>
      <w:r>
        <w:rPr>
          <w:rFonts w:ascii="Bookman Old Style" w:eastAsia="Bookman Old Style" w:hAnsi="Bookman Old Style" w:cs="Bookman Old Style"/>
          <w:color w:val="000000"/>
          <w:sz w:val="20"/>
          <w:szCs w:val="20"/>
        </w:rPr>
        <w:br/>
      </w:r>
    </w:p>
    <w:p w14:paraId="60077B8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 xml:space="preserve">17.2 Reporting to the Health and Safety Executive </w:t>
      </w:r>
    </w:p>
    <w:p w14:paraId="1A19CF05"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Office Manager and Business Manager will keep a record of any accident which results in a reportable injury, disease, or dangerous occurrence as defined in the RIDDOR 2013 legislation (regulations 4, 5, 6 and 7).</w:t>
      </w:r>
    </w:p>
    <w:p w14:paraId="6B27AD68" w14:textId="77777777" w:rsidR="003B338F" w:rsidRDefault="003B338F">
      <w:pPr>
        <w:ind w:left="0" w:hanging="2"/>
        <w:jc w:val="both"/>
        <w:rPr>
          <w:rFonts w:ascii="Bookman Old Style" w:eastAsia="Bookman Old Style" w:hAnsi="Bookman Old Style" w:cs="Bookman Old Style"/>
        </w:rPr>
      </w:pPr>
    </w:p>
    <w:p w14:paraId="6C3470A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The Office Manager and Business Manager will report these to the Health and Safety Executive as soon as is reasonably practicable and in any event within 10 days of the incident. </w:t>
      </w:r>
    </w:p>
    <w:p w14:paraId="32D1C873"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Reportable injuries, diseases or dangerous occurrences include: </w:t>
      </w:r>
    </w:p>
    <w:p w14:paraId="3503B64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Death</w:t>
      </w:r>
    </w:p>
    <w:p w14:paraId="6A7474BE"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Specified injuries. These are:</w:t>
      </w:r>
    </w:p>
    <w:p w14:paraId="10AF8AA6"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Fractures, other than to fingers, thumbs and toes</w:t>
      </w:r>
    </w:p>
    <w:p w14:paraId="3966ABD1"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Amputations</w:t>
      </w:r>
    </w:p>
    <w:p w14:paraId="32DA3C88"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Any injury likely to lead to permanent loss of sight or reduction in sight</w:t>
      </w:r>
    </w:p>
    <w:p w14:paraId="7950EB72"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Any crush injury to the head or torso causing damage to the brain or internal organs</w:t>
      </w:r>
    </w:p>
    <w:p w14:paraId="30655D8A"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 xml:space="preserve">Serious burns (including scalding) </w:t>
      </w:r>
    </w:p>
    <w:p w14:paraId="3BC24AFA"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Any scalping requiring hospital treatment</w:t>
      </w:r>
    </w:p>
    <w:p w14:paraId="27C33C7A"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Any loss of consciousness caused by head injury or asphyxia</w:t>
      </w:r>
    </w:p>
    <w:p w14:paraId="07F3DE21"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Any other injury arising from working in an enclosed space which leads to hypothermia or heat-induced illness, or requires resuscitation or admittance to hospital for more than 24 hours</w:t>
      </w:r>
    </w:p>
    <w:p w14:paraId="319D483E"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Injuries where an employee is away from work or unable to perform their normal work duties for more than 7 consecutive days.</w:t>
      </w:r>
    </w:p>
    <w:p w14:paraId="79E94B76"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Where an accident leads to someone being taken to hospital.</w:t>
      </w:r>
    </w:p>
    <w:p w14:paraId="0600DF03"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Where something happens that does not result in an injury, but could have done.</w:t>
      </w:r>
    </w:p>
    <w:p w14:paraId="6A78345A" w14:textId="77777777" w:rsidR="003B338F" w:rsidRDefault="00000000">
      <w:pPr>
        <w:numPr>
          <w:ilvl w:val="0"/>
          <w:numId w:val="3"/>
        </w:numPr>
        <w:pBdr>
          <w:top w:val="nil"/>
          <w:left w:val="nil"/>
          <w:bottom w:val="nil"/>
          <w:right w:val="nil"/>
          <w:between w:val="nil"/>
        </w:pBdr>
        <w:spacing w:before="120" w:after="120" w:line="240" w:lineRule="auto"/>
        <w:ind w:left="0" w:hanging="2"/>
        <w:rPr>
          <w:rFonts w:ascii="Bookman Old Style" w:eastAsia="Bookman Old Style" w:hAnsi="Bookman Old Style" w:cs="Bookman Old Style"/>
          <w:color w:val="000000"/>
          <w:sz w:val="20"/>
          <w:szCs w:val="20"/>
        </w:rPr>
      </w:pPr>
      <w:r>
        <w:rPr>
          <w:rFonts w:ascii="Bookman Old Style" w:eastAsia="Bookman Old Style" w:hAnsi="Bookman Old Style" w:cs="Bookman Old Style"/>
          <w:color w:val="000000"/>
          <w:sz w:val="20"/>
          <w:szCs w:val="20"/>
        </w:rPr>
        <w:t xml:space="preserve">Near-miss events that do not result in an injury, but could have done. Examples of near-miss events relevant to schools include, but are not limited to: </w:t>
      </w:r>
    </w:p>
    <w:p w14:paraId="207D5EBA"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The collapse or failure of load-bearing parts of lifts and lifting equipment.</w:t>
      </w:r>
    </w:p>
    <w:p w14:paraId="04A7CCFB"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lastRenderedPageBreak/>
        <w:t>The accidental release of a biological agent likely to cause severe human illness.</w:t>
      </w:r>
    </w:p>
    <w:p w14:paraId="346F70A2"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The accidental release or escape of any substance that may cause a serious injury or damage to health.</w:t>
      </w:r>
    </w:p>
    <w:p w14:paraId="3240BA37" w14:textId="77777777" w:rsidR="003B338F" w:rsidRDefault="00000000">
      <w:pPr>
        <w:numPr>
          <w:ilvl w:val="1"/>
          <w:numId w:val="3"/>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An electrical short circuit or overload causing a fire or explosion.</w:t>
      </w:r>
    </w:p>
    <w:p w14:paraId="78348EC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Information on how to make a RIDDOR report is available here: </w:t>
      </w:r>
    </w:p>
    <w:bookmarkStart w:id="21" w:name="_heading=h.3as4poj" w:colFirst="0" w:colLast="0"/>
    <w:bookmarkEnd w:id="21"/>
    <w:p w14:paraId="1355FDA7" w14:textId="77777777" w:rsidR="003B338F" w:rsidRDefault="00000000">
      <w:pPr>
        <w:ind w:left="0" w:hanging="2"/>
        <w:rPr>
          <w:rFonts w:ascii="Bookman Old Style" w:eastAsia="Bookman Old Style" w:hAnsi="Bookman Old Style" w:cs="Bookman Old Style"/>
          <w:color w:val="0092CF"/>
          <w:sz w:val="18"/>
          <w:szCs w:val="18"/>
          <w:u w:val="single"/>
        </w:rPr>
      </w:pPr>
      <w:r>
        <w:fldChar w:fldCharType="begin"/>
      </w:r>
      <w:r>
        <w:instrText>HYPERLINK "http://www.hse.gov.uk/riddor/report.htm" \h</w:instrText>
      </w:r>
      <w:r>
        <w:fldChar w:fldCharType="separate"/>
      </w:r>
      <w:r>
        <w:rPr>
          <w:rFonts w:ascii="Bookman Old Style" w:eastAsia="Bookman Old Style" w:hAnsi="Bookman Old Style" w:cs="Bookman Old Style"/>
          <w:color w:val="0092CF"/>
          <w:sz w:val="20"/>
          <w:szCs w:val="20"/>
          <w:u w:val="single"/>
        </w:rPr>
        <w:t>How to make a RIDDOR report, HSE</w:t>
      </w:r>
      <w:r>
        <w:fldChar w:fldCharType="end"/>
      </w:r>
      <w:r>
        <w:rPr>
          <w:rFonts w:ascii="Bookman Old Style" w:eastAsia="Bookman Old Style" w:hAnsi="Bookman Old Style" w:cs="Bookman Old Style"/>
        </w:rPr>
        <w:br/>
      </w:r>
      <w:hyperlink r:id="rId22">
        <w:r w:rsidR="003B338F">
          <w:rPr>
            <w:rFonts w:ascii="Bookman Old Style" w:eastAsia="Bookman Old Style" w:hAnsi="Bookman Old Style" w:cs="Bookman Old Style"/>
            <w:color w:val="0092CF"/>
            <w:sz w:val="18"/>
            <w:szCs w:val="18"/>
            <w:u w:val="single"/>
          </w:rPr>
          <w:t>http://www.hse.gov.uk/riddor/report.htm</w:t>
        </w:r>
      </w:hyperlink>
      <w:r>
        <w:rPr>
          <w:rFonts w:ascii="Bookman Old Style" w:eastAsia="Bookman Old Style" w:hAnsi="Bookman Old Style" w:cs="Bookman Old Style"/>
          <w:color w:val="0092CF"/>
          <w:sz w:val="18"/>
          <w:szCs w:val="18"/>
          <w:u w:val="single"/>
        </w:rPr>
        <w:t xml:space="preserve"> </w:t>
      </w:r>
    </w:p>
    <w:p w14:paraId="64F09A4D" w14:textId="77777777" w:rsidR="003B338F" w:rsidRDefault="003B338F">
      <w:pPr>
        <w:ind w:left="0" w:hanging="2"/>
        <w:rPr>
          <w:rFonts w:ascii="Bookman Old Style" w:eastAsia="Bookman Old Style" w:hAnsi="Bookman Old Style" w:cs="Bookman Old Style"/>
          <w:color w:val="0092CF"/>
          <w:sz w:val="18"/>
          <w:szCs w:val="18"/>
          <w:u w:val="single"/>
        </w:rPr>
      </w:pPr>
    </w:p>
    <w:p w14:paraId="7D5C635F" w14:textId="77777777" w:rsidR="003B338F" w:rsidRDefault="003B338F">
      <w:pPr>
        <w:ind w:left="0" w:hanging="2"/>
        <w:rPr>
          <w:rFonts w:ascii="Bookman Old Style" w:eastAsia="Bookman Old Style" w:hAnsi="Bookman Old Style" w:cs="Bookman Old Style"/>
          <w:color w:val="0092CF"/>
          <w:sz w:val="18"/>
          <w:szCs w:val="18"/>
          <w:u w:val="single"/>
        </w:rPr>
      </w:pPr>
      <w:bookmarkStart w:id="22" w:name="_heading=h.1pxezwc" w:colFirst="0" w:colLast="0"/>
      <w:bookmarkEnd w:id="22"/>
    </w:p>
    <w:p w14:paraId="5C5D26D3"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Training</w:t>
      </w:r>
    </w:p>
    <w:p w14:paraId="7CA75B78" w14:textId="77777777" w:rsidR="003B338F" w:rsidRDefault="003B338F">
      <w:pPr>
        <w:ind w:left="0" w:hanging="2"/>
        <w:rPr>
          <w:rFonts w:ascii="Bookman Old Style" w:eastAsia="Bookman Old Style" w:hAnsi="Bookman Old Style" w:cs="Bookman Old Style"/>
        </w:rPr>
      </w:pPr>
    </w:p>
    <w:p w14:paraId="3B6CFD3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Our staff are provided with health and safety training as part of their induction process.</w:t>
      </w:r>
    </w:p>
    <w:p w14:paraId="5F3BBD56"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Staff are also given additional health and safety training on an annual basis. </w:t>
      </w:r>
    </w:p>
    <w:p w14:paraId="11DB8495" w14:textId="77777777" w:rsidR="003B338F" w:rsidRDefault="003B338F">
      <w:pPr>
        <w:ind w:left="0" w:hanging="2"/>
        <w:rPr>
          <w:rFonts w:ascii="Bookman Old Style" w:eastAsia="Bookman Old Style" w:hAnsi="Bookman Old Style" w:cs="Bookman Old Style"/>
        </w:rPr>
      </w:pPr>
    </w:p>
    <w:p w14:paraId="2D79F0AB" w14:textId="77777777" w:rsidR="003B338F" w:rsidRDefault="003B338F">
      <w:pPr>
        <w:ind w:left="0" w:hanging="2"/>
        <w:rPr>
          <w:rFonts w:ascii="Bookman Old Style" w:eastAsia="Bookman Old Style" w:hAnsi="Bookman Old Style" w:cs="Bookman Old Style"/>
        </w:rPr>
      </w:pPr>
    </w:p>
    <w:p w14:paraId="3A128DDD" w14:textId="77777777" w:rsidR="003B338F" w:rsidRDefault="003B338F">
      <w:pPr>
        <w:ind w:left="0" w:hanging="2"/>
        <w:rPr>
          <w:rFonts w:ascii="Bookman Old Style" w:eastAsia="Bookman Old Style" w:hAnsi="Bookman Old Style" w:cs="Bookman Old Style"/>
        </w:rPr>
      </w:pPr>
      <w:bookmarkStart w:id="23" w:name="_heading=h.49x2ik5" w:colFirst="0" w:colLast="0"/>
      <w:bookmarkEnd w:id="23"/>
    </w:p>
    <w:p w14:paraId="74D92489"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Monitoring</w:t>
      </w:r>
    </w:p>
    <w:p w14:paraId="495B8006" w14:textId="77777777" w:rsidR="003B338F" w:rsidRDefault="003B338F">
      <w:pPr>
        <w:ind w:left="0" w:hanging="2"/>
        <w:rPr>
          <w:rFonts w:ascii="Bookman Old Style" w:eastAsia="Bookman Old Style" w:hAnsi="Bookman Old Style" w:cs="Bookman Old Style"/>
        </w:rPr>
      </w:pPr>
    </w:p>
    <w:p w14:paraId="564B418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This policy will be reviewed by Head Teacher</w:t>
      </w:r>
      <w:r>
        <w:rPr>
          <w:rFonts w:ascii="Bookman Old Style" w:eastAsia="Bookman Old Style" w:hAnsi="Bookman Old Style" w:cs="Bookman Old Style"/>
          <w:color w:val="C0504D"/>
        </w:rPr>
        <w:t xml:space="preserve"> </w:t>
      </w:r>
      <w:r>
        <w:rPr>
          <w:rFonts w:ascii="Bookman Old Style" w:eastAsia="Bookman Old Style" w:hAnsi="Bookman Old Style" w:cs="Bookman Old Style"/>
        </w:rPr>
        <w:t>every 2</w:t>
      </w:r>
      <w:r>
        <w:rPr>
          <w:rFonts w:ascii="Bookman Old Style" w:eastAsia="Bookman Old Style" w:hAnsi="Bookman Old Style" w:cs="Bookman Old Style"/>
          <w:color w:val="F15F22"/>
        </w:rPr>
        <w:t xml:space="preserve"> </w:t>
      </w:r>
      <w:r>
        <w:rPr>
          <w:rFonts w:ascii="Bookman Old Style" w:eastAsia="Bookman Old Style" w:hAnsi="Bookman Old Style" w:cs="Bookman Old Style"/>
        </w:rPr>
        <w:t>years.  At every review, the policy will be approved by the Proprietor.</w:t>
      </w:r>
    </w:p>
    <w:p w14:paraId="201D4EE7" w14:textId="77777777" w:rsidR="003B338F" w:rsidRDefault="003B338F">
      <w:pPr>
        <w:ind w:left="0" w:hanging="2"/>
        <w:rPr>
          <w:rFonts w:ascii="Bookman Old Style" w:eastAsia="Bookman Old Style" w:hAnsi="Bookman Old Style" w:cs="Bookman Old Style"/>
        </w:rPr>
      </w:pPr>
    </w:p>
    <w:p w14:paraId="1F68C79D" w14:textId="77777777" w:rsidR="003B338F" w:rsidRDefault="003B338F">
      <w:pPr>
        <w:ind w:left="0" w:hanging="2"/>
        <w:rPr>
          <w:rFonts w:ascii="Bookman Old Style" w:eastAsia="Bookman Old Style" w:hAnsi="Bookman Old Style" w:cs="Bookman Old Style"/>
        </w:rPr>
      </w:pPr>
    </w:p>
    <w:p w14:paraId="11BEA7C2" w14:textId="77777777" w:rsidR="003B338F" w:rsidRDefault="003B338F">
      <w:pPr>
        <w:ind w:left="0" w:hanging="2"/>
        <w:rPr>
          <w:rFonts w:ascii="Bookman Old Style" w:eastAsia="Bookman Old Style" w:hAnsi="Bookman Old Style" w:cs="Bookman Old Style"/>
        </w:rPr>
      </w:pPr>
      <w:bookmarkStart w:id="24" w:name="_heading=h.2p2csry" w:colFirst="0" w:colLast="0"/>
      <w:bookmarkEnd w:id="24"/>
    </w:p>
    <w:p w14:paraId="5A366929" w14:textId="77777777" w:rsidR="003B338F" w:rsidRDefault="00000000">
      <w:pPr>
        <w:pStyle w:val="Heading1"/>
        <w:numPr>
          <w:ilvl w:val="0"/>
          <w:numId w:val="2"/>
        </w:numPr>
        <w:tabs>
          <w:tab w:val="right" w:pos="0"/>
        </w:tabs>
        <w:ind w:left="1" w:hanging="3"/>
        <w:jc w:val="left"/>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Links with other policies</w:t>
      </w:r>
    </w:p>
    <w:p w14:paraId="746D1FC2" w14:textId="77777777" w:rsidR="003B338F" w:rsidRDefault="003B338F">
      <w:pPr>
        <w:ind w:left="0" w:hanging="2"/>
        <w:rPr>
          <w:rFonts w:ascii="Bookman Old Style" w:eastAsia="Bookman Old Style" w:hAnsi="Bookman Old Style" w:cs="Bookman Old Style"/>
        </w:rPr>
      </w:pPr>
    </w:p>
    <w:p w14:paraId="19685BD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This health and safety policy links to the following policies: </w:t>
      </w:r>
    </w:p>
    <w:p w14:paraId="53977B5A" w14:textId="77777777" w:rsidR="003B338F" w:rsidRDefault="00000000">
      <w:pPr>
        <w:numPr>
          <w:ilvl w:val="0"/>
          <w:numId w:val="1"/>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 xml:space="preserve">First aid </w:t>
      </w:r>
    </w:p>
    <w:p w14:paraId="75641365" w14:textId="77777777" w:rsidR="003B338F" w:rsidRDefault="00000000">
      <w:pPr>
        <w:numPr>
          <w:ilvl w:val="0"/>
          <w:numId w:val="1"/>
        </w:numPr>
        <w:spacing w:before="120" w:after="120"/>
        <w:ind w:left="0" w:hanging="2"/>
        <w:rPr>
          <w:rFonts w:ascii="Bookman Old Style" w:eastAsia="Bookman Old Style" w:hAnsi="Bookman Old Style" w:cs="Bookman Old Style"/>
        </w:rPr>
      </w:pPr>
      <w:r>
        <w:rPr>
          <w:rFonts w:ascii="Bookman Old Style" w:eastAsia="Bookman Old Style" w:hAnsi="Bookman Old Style" w:cs="Bookman Old Style"/>
        </w:rPr>
        <w:t xml:space="preserve">Supporting pupils with medical conditions </w:t>
      </w:r>
    </w:p>
    <w:p w14:paraId="1B48F285" w14:textId="77777777" w:rsidR="003B338F" w:rsidRDefault="00000000">
      <w:pPr>
        <w:numPr>
          <w:ilvl w:val="0"/>
          <w:numId w:val="1"/>
        </w:numPr>
        <w:spacing w:before="120" w:after="120"/>
        <w:ind w:left="0" w:hanging="2"/>
        <w:rPr>
          <w:rFonts w:ascii="Bookman Old Style" w:eastAsia="Bookman Old Style" w:hAnsi="Bookman Old Style" w:cs="Bookman Old Style"/>
        </w:rPr>
        <w:sectPr w:rsidR="003B338F">
          <w:footerReference w:type="default" r:id="rId23"/>
          <w:pgSz w:w="11900" w:h="16840"/>
          <w:pgMar w:top="851" w:right="1134" w:bottom="1134" w:left="1134" w:header="567" w:footer="567" w:gutter="0"/>
          <w:pgNumType w:start="1"/>
          <w:cols w:space="720"/>
          <w:titlePg/>
        </w:sectPr>
      </w:pPr>
      <w:r>
        <w:rPr>
          <w:rFonts w:ascii="Bookman Old Style" w:eastAsia="Bookman Old Style" w:hAnsi="Bookman Old Style" w:cs="Bookman Old Style"/>
        </w:rPr>
        <w:t>Accessibility plan</w:t>
      </w:r>
    </w:p>
    <w:p w14:paraId="588C9049" w14:textId="77777777" w:rsidR="003B338F" w:rsidRDefault="003B338F">
      <w:pPr>
        <w:ind w:left="0" w:hanging="2"/>
        <w:rPr>
          <w:rFonts w:ascii="Bookman Old Style" w:eastAsia="Bookman Old Style" w:hAnsi="Bookman Old Style" w:cs="Bookman Old Style"/>
        </w:rPr>
      </w:pPr>
      <w:bookmarkStart w:id="25" w:name="_heading=h.147n2zr" w:colFirst="0" w:colLast="0"/>
      <w:bookmarkEnd w:id="25"/>
    </w:p>
    <w:p w14:paraId="238834A9" w14:textId="77777777" w:rsidR="003B338F" w:rsidRDefault="00000000">
      <w:pPr>
        <w:pStyle w:val="Heading1"/>
        <w:ind w:left="1" w:hanging="3"/>
        <w:rPr>
          <w:rFonts w:ascii="Bookman Old Style" w:eastAsia="Bookman Old Style" w:hAnsi="Bookman Old Style" w:cs="Bookman Old Style"/>
          <w:sz w:val="28"/>
          <w:szCs w:val="28"/>
        </w:rPr>
      </w:pPr>
      <w:r>
        <w:rPr>
          <w:rFonts w:ascii="Bookman Old Style" w:eastAsia="Bookman Old Style" w:hAnsi="Bookman Old Style" w:cs="Bookman Old Style"/>
          <w:sz w:val="28"/>
          <w:szCs w:val="28"/>
        </w:rPr>
        <w:t>Appendix 1. Fire safety checklist (example only)</w:t>
      </w:r>
    </w:p>
    <w:p w14:paraId="3B58FFB3" w14:textId="77777777" w:rsidR="003B338F" w:rsidRDefault="003B338F">
      <w:pPr>
        <w:ind w:left="0" w:hanging="2"/>
        <w:rPr>
          <w:rFonts w:ascii="Bookman Old Style" w:eastAsia="Bookman Old Style" w:hAnsi="Bookman Old Style" w:cs="Bookman Old Style"/>
        </w:rPr>
      </w:pPr>
    </w:p>
    <w:tbl>
      <w:tblPr>
        <w:tblStyle w:val="a0"/>
        <w:tblW w:w="9356"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4674"/>
        <w:gridCol w:w="4682"/>
      </w:tblGrid>
      <w:tr w:rsidR="003B338F" w14:paraId="15142254" w14:textId="77777777">
        <w:trPr>
          <w:trHeight w:val="27"/>
        </w:trPr>
        <w:tc>
          <w:tcPr>
            <w:tcW w:w="4674" w:type="dxa"/>
            <w:shd w:val="clear" w:color="auto" w:fill="BFBFBF"/>
          </w:tcPr>
          <w:p w14:paraId="60565AB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Issue to check</w:t>
            </w:r>
          </w:p>
        </w:tc>
        <w:tc>
          <w:tcPr>
            <w:tcW w:w="4682" w:type="dxa"/>
            <w:shd w:val="clear" w:color="auto" w:fill="BFBFBF"/>
          </w:tcPr>
          <w:p w14:paraId="6BE3969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Yes/No</w:t>
            </w:r>
          </w:p>
        </w:tc>
      </w:tr>
      <w:tr w:rsidR="003B338F" w14:paraId="7547A6BE" w14:textId="77777777">
        <w:tc>
          <w:tcPr>
            <w:tcW w:w="4674" w:type="dxa"/>
          </w:tcPr>
          <w:p w14:paraId="4075A87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Are fire regulations prominently displayed?</w:t>
            </w:r>
          </w:p>
        </w:tc>
        <w:tc>
          <w:tcPr>
            <w:tcW w:w="4682" w:type="dxa"/>
          </w:tcPr>
          <w:p w14:paraId="7CCD912F" w14:textId="77777777" w:rsidR="003B338F" w:rsidRDefault="003B338F">
            <w:pPr>
              <w:ind w:left="0" w:hanging="2"/>
              <w:rPr>
                <w:rFonts w:ascii="Bookman Old Style" w:eastAsia="Bookman Old Style" w:hAnsi="Bookman Old Style" w:cs="Bookman Old Style"/>
                <w:sz w:val="24"/>
                <w:szCs w:val="24"/>
              </w:rPr>
            </w:pPr>
          </w:p>
        </w:tc>
      </w:tr>
      <w:tr w:rsidR="003B338F" w14:paraId="4998474D" w14:textId="77777777">
        <w:tc>
          <w:tcPr>
            <w:tcW w:w="4674" w:type="dxa"/>
          </w:tcPr>
          <w:p w14:paraId="58D4ABC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Is fire-fighting equipment, including fire blankets, in place?</w:t>
            </w:r>
          </w:p>
        </w:tc>
        <w:tc>
          <w:tcPr>
            <w:tcW w:w="4682" w:type="dxa"/>
          </w:tcPr>
          <w:p w14:paraId="71CFBD26" w14:textId="77777777" w:rsidR="003B338F" w:rsidRDefault="003B338F">
            <w:pPr>
              <w:ind w:left="0" w:hanging="2"/>
              <w:rPr>
                <w:rFonts w:ascii="Bookman Old Style" w:eastAsia="Bookman Old Style" w:hAnsi="Bookman Old Style" w:cs="Bookman Old Style"/>
                <w:sz w:val="24"/>
                <w:szCs w:val="24"/>
              </w:rPr>
            </w:pPr>
          </w:p>
        </w:tc>
      </w:tr>
      <w:tr w:rsidR="003B338F" w14:paraId="04802D77" w14:textId="77777777">
        <w:tc>
          <w:tcPr>
            <w:tcW w:w="4674" w:type="dxa"/>
          </w:tcPr>
          <w:p w14:paraId="71F42F6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Does fire-fighting equipment give details for the type of fire it should be used for?</w:t>
            </w:r>
          </w:p>
        </w:tc>
        <w:tc>
          <w:tcPr>
            <w:tcW w:w="4682" w:type="dxa"/>
          </w:tcPr>
          <w:p w14:paraId="3FCBB233" w14:textId="77777777" w:rsidR="003B338F" w:rsidRDefault="003B338F">
            <w:pPr>
              <w:ind w:left="0" w:hanging="2"/>
              <w:rPr>
                <w:rFonts w:ascii="Bookman Old Style" w:eastAsia="Bookman Old Style" w:hAnsi="Bookman Old Style" w:cs="Bookman Old Style"/>
                <w:sz w:val="24"/>
                <w:szCs w:val="24"/>
              </w:rPr>
            </w:pPr>
          </w:p>
        </w:tc>
      </w:tr>
      <w:tr w:rsidR="003B338F" w14:paraId="19F6C33A" w14:textId="77777777">
        <w:tc>
          <w:tcPr>
            <w:tcW w:w="4674" w:type="dxa"/>
          </w:tcPr>
          <w:p w14:paraId="445CE70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Are fire exits clearly labelled?</w:t>
            </w:r>
          </w:p>
        </w:tc>
        <w:tc>
          <w:tcPr>
            <w:tcW w:w="4682" w:type="dxa"/>
          </w:tcPr>
          <w:p w14:paraId="3B17C53F" w14:textId="77777777" w:rsidR="003B338F" w:rsidRDefault="003B338F">
            <w:pPr>
              <w:ind w:left="0" w:hanging="2"/>
              <w:rPr>
                <w:rFonts w:ascii="Bookman Old Style" w:eastAsia="Bookman Old Style" w:hAnsi="Bookman Old Style" w:cs="Bookman Old Style"/>
                <w:sz w:val="24"/>
                <w:szCs w:val="24"/>
              </w:rPr>
            </w:pPr>
          </w:p>
        </w:tc>
      </w:tr>
      <w:tr w:rsidR="003B338F" w14:paraId="4F7C63ED" w14:textId="77777777">
        <w:tc>
          <w:tcPr>
            <w:tcW w:w="4674" w:type="dxa"/>
          </w:tcPr>
          <w:p w14:paraId="2AAC4A8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Are fire doors fitted with self-closing mechanisms?</w:t>
            </w:r>
          </w:p>
        </w:tc>
        <w:tc>
          <w:tcPr>
            <w:tcW w:w="4682" w:type="dxa"/>
          </w:tcPr>
          <w:p w14:paraId="2EB421AB" w14:textId="77777777" w:rsidR="003B338F" w:rsidRDefault="003B338F">
            <w:pPr>
              <w:ind w:left="0" w:hanging="2"/>
              <w:rPr>
                <w:rFonts w:ascii="Bookman Old Style" w:eastAsia="Bookman Old Style" w:hAnsi="Bookman Old Style" w:cs="Bookman Old Style"/>
                <w:sz w:val="24"/>
                <w:szCs w:val="24"/>
              </w:rPr>
            </w:pPr>
          </w:p>
        </w:tc>
      </w:tr>
      <w:tr w:rsidR="003B338F" w14:paraId="6F962AF9" w14:textId="77777777">
        <w:tc>
          <w:tcPr>
            <w:tcW w:w="4674" w:type="dxa"/>
          </w:tcPr>
          <w:p w14:paraId="72126DE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Are flammable materials stored away from open flames?</w:t>
            </w:r>
          </w:p>
        </w:tc>
        <w:tc>
          <w:tcPr>
            <w:tcW w:w="4682" w:type="dxa"/>
          </w:tcPr>
          <w:p w14:paraId="480E81CB" w14:textId="77777777" w:rsidR="003B338F" w:rsidRDefault="003B338F">
            <w:pPr>
              <w:ind w:left="0" w:hanging="2"/>
              <w:rPr>
                <w:rFonts w:ascii="Bookman Old Style" w:eastAsia="Bookman Old Style" w:hAnsi="Bookman Old Style" w:cs="Bookman Old Style"/>
                <w:sz w:val="24"/>
                <w:szCs w:val="24"/>
              </w:rPr>
            </w:pPr>
          </w:p>
        </w:tc>
      </w:tr>
      <w:tr w:rsidR="003B338F" w14:paraId="4A2BEF0E" w14:textId="77777777">
        <w:tc>
          <w:tcPr>
            <w:tcW w:w="4674" w:type="dxa"/>
          </w:tcPr>
          <w:p w14:paraId="6EFB97A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Do all staff and pupils understand what to do in the event of a fire?</w:t>
            </w:r>
          </w:p>
        </w:tc>
        <w:tc>
          <w:tcPr>
            <w:tcW w:w="4682" w:type="dxa"/>
          </w:tcPr>
          <w:p w14:paraId="44F6C68D" w14:textId="77777777" w:rsidR="003B338F" w:rsidRDefault="003B338F">
            <w:pPr>
              <w:ind w:left="0" w:hanging="2"/>
              <w:rPr>
                <w:rFonts w:ascii="Bookman Old Style" w:eastAsia="Bookman Old Style" w:hAnsi="Bookman Old Style" w:cs="Bookman Old Style"/>
                <w:sz w:val="24"/>
                <w:szCs w:val="24"/>
              </w:rPr>
            </w:pPr>
          </w:p>
        </w:tc>
      </w:tr>
      <w:tr w:rsidR="003B338F" w14:paraId="77265922" w14:textId="77777777">
        <w:tc>
          <w:tcPr>
            <w:tcW w:w="4674" w:type="dxa"/>
          </w:tcPr>
          <w:p w14:paraId="127ED22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Can you easily hear the fire alarm from all areas?</w:t>
            </w:r>
          </w:p>
        </w:tc>
        <w:tc>
          <w:tcPr>
            <w:tcW w:w="4682" w:type="dxa"/>
          </w:tcPr>
          <w:p w14:paraId="265071B1" w14:textId="77777777" w:rsidR="003B338F" w:rsidRDefault="003B338F">
            <w:pPr>
              <w:ind w:left="0" w:hanging="2"/>
              <w:rPr>
                <w:rFonts w:ascii="Bookman Old Style" w:eastAsia="Bookman Old Style" w:hAnsi="Bookman Old Style" w:cs="Bookman Old Style"/>
                <w:sz w:val="24"/>
                <w:szCs w:val="24"/>
              </w:rPr>
            </w:pPr>
          </w:p>
        </w:tc>
      </w:tr>
    </w:tbl>
    <w:p w14:paraId="15365248" w14:textId="77777777" w:rsidR="003B338F" w:rsidRDefault="003B338F">
      <w:pPr>
        <w:ind w:left="0" w:hanging="2"/>
        <w:rPr>
          <w:rFonts w:ascii="Bookman Old Style" w:eastAsia="Bookman Old Style" w:hAnsi="Bookman Old Style" w:cs="Bookman Old Style"/>
        </w:rPr>
      </w:pPr>
    </w:p>
    <w:p w14:paraId="5FFF6168" w14:textId="77777777" w:rsidR="003B338F" w:rsidRDefault="003B338F">
      <w:pPr>
        <w:tabs>
          <w:tab w:val="left" w:pos="1245"/>
        </w:tabs>
        <w:ind w:left="0" w:hanging="2"/>
        <w:rPr>
          <w:rFonts w:ascii="Bookman Old Style" w:eastAsia="Bookman Old Style" w:hAnsi="Bookman Old Style" w:cs="Bookman Old Style"/>
        </w:rPr>
        <w:sectPr w:rsidR="003B338F">
          <w:pgSz w:w="11900" w:h="16840"/>
          <w:pgMar w:top="851" w:right="1134" w:bottom="1134" w:left="1134" w:header="567" w:footer="567" w:gutter="0"/>
          <w:cols w:space="720"/>
          <w:titlePg/>
        </w:sectPr>
      </w:pPr>
    </w:p>
    <w:p w14:paraId="6348B709" w14:textId="77777777" w:rsidR="003B338F" w:rsidRDefault="00000000">
      <w:pPr>
        <w:pStyle w:val="Heading1"/>
        <w:ind w:left="1" w:hanging="3"/>
        <w:rPr>
          <w:rFonts w:ascii="Bookman Old Style" w:eastAsia="Bookman Old Style" w:hAnsi="Bookman Old Style" w:cs="Bookman Old Style"/>
          <w:sz w:val="28"/>
          <w:szCs w:val="28"/>
        </w:rPr>
      </w:pPr>
      <w:bookmarkStart w:id="26" w:name="_heading=h.3o7alnk" w:colFirst="0" w:colLast="0"/>
      <w:bookmarkEnd w:id="26"/>
      <w:r>
        <w:rPr>
          <w:rFonts w:ascii="Bookman Old Style" w:eastAsia="Bookman Old Style" w:hAnsi="Bookman Old Style" w:cs="Bookman Old Style"/>
          <w:sz w:val="28"/>
          <w:szCs w:val="28"/>
        </w:rPr>
        <w:lastRenderedPageBreak/>
        <w:t>Appendix 2. Accident report (example only)</w:t>
      </w:r>
    </w:p>
    <w:tbl>
      <w:tblPr>
        <w:tblStyle w:val="a1"/>
        <w:tblW w:w="14884"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4253"/>
        <w:gridCol w:w="3544"/>
        <w:gridCol w:w="2693"/>
        <w:gridCol w:w="4394"/>
      </w:tblGrid>
      <w:tr w:rsidR="003B338F" w14:paraId="2900DC33" w14:textId="77777777">
        <w:trPr>
          <w:trHeight w:val="27"/>
        </w:trPr>
        <w:tc>
          <w:tcPr>
            <w:tcW w:w="4253" w:type="dxa"/>
            <w:shd w:val="clear" w:color="auto" w:fill="BFBFBF"/>
          </w:tcPr>
          <w:p w14:paraId="77A2AF7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Name of injured person</w:t>
            </w:r>
          </w:p>
        </w:tc>
        <w:tc>
          <w:tcPr>
            <w:tcW w:w="3544" w:type="dxa"/>
          </w:tcPr>
          <w:p w14:paraId="3731F784" w14:textId="77777777" w:rsidR="003B338F" w:rsidRDefault="003B338F">
            <w:pPr>
              <w:ind w:left="0" w:hanging="2"/>
              <w:rPr>
                <w:rFonts w:ascii="Bookman Old Style" w:eastAsia="Bookman Old Style" w:hAnsi="Bookman Old Style" w:cs="Bookman Old Style"/>
              </w:rPr>
            </w:pPr>
          </w:p>
        </w:tc>
        <w:tc>
          <w:tcPr>
            <w:tcW w:w="2693" w:type="dxa"/>
            <w:shd w:val="clear" w:color="auto" w:fill="BFBFBF"/>
          </w:tcPr>
          <w:p w14:paraId="12F15EE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Role/class</w:t>
            </w:r>
          </w:p>
        </w:tc>
        <w:tc>
          <w:tcPr>
            <w:tcW w:w="4394" w:type="dxa"/>
          </w:tcPr>
          <w:p w14:paraId="50D225CC" w14:textId="77777777" w:rsidR="003B338F" w:rsidRDefault="003B338F">
            <w:pPr>
              <w:ind w:left="0" w:hanging="2"/>
              <w:rPr>
                <w:rFonts w:ascii="Bookman Old Style" w:eastAsia="Bookman Old Style" w:hAnsi="Bookman Old Style" w:cs="Bookman Old Style"/>
              </w:rPr>
            </w:pPr>
          </w:p>
        </w:tc>
      </w:tr>
      <w:tr w:rsidR="003B338F" w14:paraId="019C18A7" w14:textId="77777777">
        <w:tc>
          <w:tcPr>
            <w:tcW w:w="4253" w:type="dxa"/>
            <w:shd w:val="clear" w:color="auto" w:fill="BFBFBF"/>
          </w:tcPr>
          <w:p w14:paraId="210C693F"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Date and time of incident</w:t>
            </w:r>
          </w:p>
        </w:tc>
        <w:tc>
          <w:tcPr>
            <w:tcW w:w="3544" w:type="dxa"/>
          </w:tcPr>
          <w:p w14:paraId="742E4BC2" w14:textId="77777777" w:rsidR="003B338F" w:rsidRDefault="003B338F">
            <w:pPr>
              <w:ind w:left="0" w:hanging="2"/>
              <w:rPr>
                <w:rFonts w:ascii="Bookman Old Style" w:eastAsia="Bookman Old Style" w:hAnsi="Bookman Old Style" w:cs="Bookman Old Style"/>
              </w:rPr>
            </w:pPr>
          </w:p>
        </w:tc>
        <w:tc>
          <w:tcPr>
            <w:tcW w:w="2693" w:type="dxa"/>
            <w:shd w:val="clear" w:color="auto" w:fill="BFBFBF"/>
          </w:tcPr>
          <w:p w14:paraId="2F1D4252"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Location of incident</w:t>
            </w:r>
          </w:p>
        </w:tc>
        <w:tc>
          <w:tcPr>
            <w:tcW w:w="4394" w:type="dxa"/>
          </w:tcPr>
          <w:p w14:paraId="10860C8C" w14:textId="77777777" w:rsidR="003B338F" w:rsidRDefault="003B338F">
            <w:pPr>
              <w:ind w:left="0" w:hanging="2"/>
              <w:rPr>
                <w:rFonts w:ascii="Bookman Old Style" w:eastAsia="Bookman Old Style" w:hAnsi="Bookman Old Style" w:cs="Bookman Old Style"/>
              </w:rPr>
            </w:pPr>
          </w:p>
        </w:tc>
      </w:tr>
      <w:tr w:rsidR="003B338F" w14:paraId="77AD2983" w14:textId="77777777">
        <w:trPr>
          <w:trHeight w:val="411"/>
        </w:trPr>
        <w:tc>
          <w:tcPr>
            <w:tcW w:w="14884" w:type="dxa"/>
            <w:gridSpan w:val="4"/>
            <w:shd w:val="clear" w:color="auto" w:fill="BFBFBF"/>
          </w:tcPr>
          <w:p w14:paraId="5C6A5E3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Incident details</w:t>
            </w:r>
          </w:p>
        </w:tc>
      </w:tr>
      <w:tr w:rsidR="003B338F" w14:paraId="3259D49A" w14:textId="77777777">
        <w:tc>
          <w:tcPr>
            <w:tcW w:w="14884" w:type="dxa"/>
            <w:gridSpan w:val="4"/>
          </w:tcPr>
          <w:p w14:paraId="491E8179"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i/>
                <w:color w:val="F15F22"/>
                <w:sz w:val="20"/>
                <w:szCs w:val="20"/>
              </w:rPr>
            </w:pPr>
          </w:p>
        </w:tc>
      </w:tr>
      <w:tr w:rsidR="003B338F" w14:paraId="503B372B" w14:textId="77777777">
        <w:tc>
          <w:tcPr>
            <w:tcW w:w="14884" w:type="dxa"/>
            <w:gridSpan w:val="4"/>
            <w:shd w:val="clear" w:color="auto" w:fill="BFBFBF"/>
          </w:tcPr>
          <w:p w14:paraId="3B3DE30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Action taken</w:t>
            </w:r>
          </w:p>
        </w:tc>
      </w:tr>
      <w:tr w:rsidR="003B338F" w14:paraId="0E394496" w14:textId="77777777">
        <w:tc>
          <w:tcPr>
            <w:tcW w:w="14884" w:type="dxa"/>
            <w:gridSpan w:val="4"/>
          </w:tcPr>
          <w:p w14:paraId="0AC04C3C"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i/>
                <w:color w:val="F15F22"/>
                <w:sz w:val="20"/>
                <w:szCs w:val="20"/>
              </w:rPr>
            </w:pPr>
          </w:p>
        </w:tc>
      </w:tr>
      <w:tr w:rsidR="003B338F" w14:paraId="5C30EB84" w14:textId="77777777">
        <w:tc>
          <w:tcPr>
            <w:tcW w:w="14884" w:type="dxa"/>
            <w:gridSpan w:val="4"/>
            <w:shd w:val="clear" w:color="auto" w:fill="BFBFBF"/>
          </w:tcPr>
          <w:p w14:paraId="4608D71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Follow-up action required</w:t>
            </w:r>
          </w:p>
        </w:tc>
      </w:tr>
      <w:tr w:rsidR="003B338F" w14:paraId="2611F80B" w14:textId="77777777">
        <w:tc>
          <w:tcPr>
            <w:tcW w:w="14884" w:type="dxa"/>
            <w:gridSpan w:val="4"/>
          </w:tcPr>
          <w:p w14:paraId="5BC81672"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i/>
                <w:color w:val="F15F22"/>
                <w:sz w:val="20"/>
                <w:szCs w:val="20"/>
              </w:rPr>
            </w:pPr>
          </w:p>
        </w:tc>
      </w:tr>
      <w:tr w:rsidR="003B338F" w14:paraId="0961C312" w14:textId="77777777">
        <w:tc>
          <w:tcPr>
            <w:tcW w:w="4253" w:type="dxa"/>
            <w:shd w:val="clear" w:color="auto" w:fill="BFBFBF"/>
          </w:tcPr>
          <w:p w14:paraId="1A6595A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Name of person attending the incident</w:t>
            </w:r>
          </w:p>
        </w:tc>
        <w:tc>
          <w:tcPr>
            <w:tcW w:w="10631" w:type="dxa"/>
            <w:gridSpan w:val="3"/>
          </w:tcPr>
          <w:p w14:paraId="462B622A" w14:textId="77777777" w:rsidR="003B338F" w:rsidRDefault="003B338F">
            <w:pPr>
              <w:ind w:left="0" w:hanging="2"/>
              <w:rPr>
                <w:rFonts w:ascii="Bookman Old Style" w:eastAsia="Bookman Old Style" w:hAnsi="Bookman Old Style" w:cs="Bookman Old Style"/>
              </w:rPr>
            </w:pPr>
          </w:p>
        </w:tc>
      </w:tr>
      <w:tr w:rsidR="003B338F" w14:paraId="0E5A1532" w14:textId="77777777">
        <w:tc>
          <w:tcPr>
            <w:tcW w:w="4253" w:type="dxa"/>
            <w:shd w:val="clear" w:color="auto" w:fill="BFBFBF"/>
          </w:tcPr>
          <w:p w14:paraId="06854CE7" w14:textId="77777777" w:rsidR="003B338F" w:rsidRDefault="00000000">
            <w:pPr>
              <w:ind w:left="0" w:hanging="2"/>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Signature</w:t>
            </w:r>
          </w:p>
        </w:tc>
        <w:tc>
          <w:tcPr>
            <w:tcW w:w="3544" w:type="dxa"/>
          </w:tcPr>
          <w:p w14:paraId="42E3F8B5" w14:textId="77777777" w:rsidR="003B338F" w:rsidRDefault="003B338F">
            <w:pPr>
              <w:ind w:left="0" w:hanging="2"/>
              <w:rPr>
                <w:rFonts w:ascii="Bookman Old Style" w:eastAsia="Bookman Old Style" w:hAnsi="Bookman Old Style" w:cs="Bookman Old Style"/>
              </w:rPr>
            </w:pPr>
          </w:p>
        </w:tc>
        <w:tc>
          <w:tcPr>
            <w:tcW w:w="2693" w:type="dxa"/>
            <w:shd w:val="clear" w:color="auto" w:fill="BFBFBF"/>
          </w:tcPr>
          <w:p w14:paraId="3EC919D6" w14:textId="77777777" w:rsidR="003B338F" w:rsidRDefault="00000000">
            <w:pPr>
              <w:ind w:left="0" w:hanging="2"/>
              <w:rPr>
                <w:rFonts w:ascii="Bookman Old Style" w:eastAsia="Bookman Old Style" w:hAnsi="Bookman Old Style" w:cs="Bookman Old Style"/>
                <w:sz w:val="24"/>
                <w:szCs w:val="24"/>
              </w:rPr>
            </w:pPr>
            <w:r>
              <w:rPr>
                <w:rFonts w:ascii="Bookman Old Style" w:eastAsia="Bookman Old Style" w:hAnsi="Bookman Old Style" w:cs="Bookman Old Style"/>
                <w:b/>
                <w:sz w:val="24"/>
                <w:szCs w:val="24"/>
              </w:rPr>
              <w:t>Date</w:t>
            </w:r>
          </w:p>
        </w:tc>
        <w:tc>
          <w:tcPr>
            <w:tcW w:w="4394" w:type="dxa"/>
          </w:tcPr>
          <w:p w14:paraId="43F0F7AA" w14:textId="77777777" w:rsidR="003B338F" w:rsidRDefault="003B338F">
            <w:pPr>
              <w:ind w:left="0" w:hanging="2"/>
              <w:rPr>
                <w:rFonts w:ascii="Bookman Old Style" w:eastAsia="Bookman Old Style" w:hAnsi="Bookman Old Style" w:cs="Bookman Old Style"/>
              </w:rPr>
            </w:pPr>
          </w:p>
        </w:tc>
      </w:tr>
    </w:tbl>
    <w:p w14:paraId="30EBC9E0" w14:textId="77777777" w:rsidR="003B338F" w:rsidRDefault="003B338F">
      <w:pPr>
        <w:pStyle w:val="Heading1"/>
        <w:ind w:left="1" w:hanging="3"/>
        <w:rPr>
          <w:rFonts w:ascii="Bookman Old Style" w:eastAsia="Bookman Old Style" w:hAnsi="Bookman Old Style" w:cs="Bookman Old Style"/>
          <w:sz w:val="28"/>
          <w:szCs w:val="28"/>
        </w:rPr>
      </w:pPr>
      <w:bookmarkStart w:id="27" w:name="_heading=h.23ckvvd" w:colFirst="0" w:colLast="0"/>
      <w:bookmarkEnd w:id="27"/>
    </w:p>
    <w:p w14:paraId="60AC5E61" w14:textId="77777777" w:rsidR="003B338F" w:rsidRDefault="00000000">
      <w:pPr>
        <w:pStyle w:val="Heading1"/>
        <w:ind w:left="5" w:hanging="7"/>
        <w:rPr>
          <w:rFonts w:ascii="Bookman Old Style" w:eastAsia="Bookman Old Style" w:hAnsi="Bookman Old Style" w:cs="Bookman Old Style"/>
          <w:sz w:val="28"/>
          <w:szCs w:val="28"/>
        </w:rPr>
      </w:pPr>
      <w:r>
        <w:br w:type="page"/>
      </w:r>
      <w:r>
        <w:rPr>
          <w:rFonts w:ascii="Bookman Old Style" w:eastAsia="Bookman Old Style" w:hAnsi="Bookman Old Style" w:cs="Bookman Old Style"/>
          <w:sz w:val="28"/>
          <w:szCs w:val="28"/>
        </w:rPr>
        <w:lastRenderedPageBreak/>
        <w:t>Appendix 3. Asbestos record (example only)</w:t>
      </w:r>
    </w:p>
    <w:p w14:paraId="4FAD9E6E" w14:textId="77777777" w:rsidR="003B338F" w:rsidRDefault="003B338F">
      <w:pPr>
        <w:pBdr>
          <w:top w:val="nil"/>
          <w:left w:val="nil"/>
          <w:bottom w:val="nil"/>
          <w:right w:val="nil"/>
          <w:between w:val="nil"/>
        </w:pBdr>
        <w:spacing w:before="120" w:after="120" w:line="240" w:lineRule="auto"/>
        <w:ind w:left="0" w:hanging="2"/>
        <w:rPr>
          <w:rFonts w:ascii="Bookman Old Style" w:eastAsia="Bookman Old Style" w:hAnsi="Bookman Old Style" w:cs="Bookman Old Style"/>
          <w:i/>
          <w:color w:val="F15F22"/>
          <w:sz w:val="20"/>
          <w:szCs w:val="20"/>
        </w:rPr>
      </w:pPr>
    </w:p>
    <w:tbl>
      <w:tblPr>
        <w:tblStyle w:val="a2"/>
        <w:tblW w:w="14963"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1870"/>
        <w:gridCol w:w="1870"/>
        <w:gridCol w:w="1871"/>
        <w:gridCol w:w="1870"/>
        <w:gridCol w:w="1870"/>
        <w:gridCol w:w="1871"/>
        <w:gridCol w:w="1870"/>
        <w:gridCol w:w="1871"/>
      </w:tblGrid>
      <w:tr w:rsidR="003B338F" w14:paraId="687973BA" w14:textId="77777777">
        <w:trPr>
          <w:trHeight w:val="395"/>
        </w:trPr>
        <w:tc>
          <w:tcPr>
            <w:tcW w:w="1870" w:type="dxa"/>
            <w:shd w:val="clear" w:color="auto" w:fill="BFBFBF"/>
          </w:tcPr>
          <w:p w14:paraId="52A3D11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Location</w:t>
            </w:r>
          </w:p>
        </w:tc>
        <w:tc>
          <w:tcPr>
            <w:tcW w:w="1870" w:type="dxa"/>
            <w:shd w:val="clear" w:color="auto" w:fill="BFBFBF"/>
          </w:tcPr>
          <w:p w14:paraId="7198D46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Product</w:t>
            </w:r>
          </w:p>
        </w:tc>
        <w:tc>
          <w:tcPr>
            <w:tcW w:w="1871" w:type="dxa"/>
            <w:shd w:val="clear" w:color="auto" w:fill="BFBFBF"/>
          </w:tcPr>
          <w:p w14:paraId="0F19D2C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How much</w:t>
            </w:r>
          </w:p>
        </w:tc>
        <w:tc>
          <w:tcPr>
            <w:tcW w:w="1870" w:type="dxa"/>
            <w:shd w:val="clear" w:color="auto" w:fill="BFBFBF"/>
          </w:tcPr>
          <w:p w14:paraId="6CB8084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Surface coating</w:t>
            </w:r>
          </w:p>
        </w:tc>
        <w:tc>
          <w:tcPr>
            <w:tcW w:w="1870" w:type="dxa"/>
            <w:shd w:val="clear" w:color="auto" w:fill="BFBFBF"/>
          </w:tcPr>
          <w:p w14:paraId="6B21E8B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Condition</w:t>
            </w:r>
          </w:p>
        </w:tc>
        <w:tc>
          <w:tcPr>
            <w:tcW w:w="1871" w:type="dxa"/>
            <w:shd w:val="clear" w:color="auto" w:fill="BFBFBF"/>
          </w:tcPr>
          <w:p w14:paraId="0EEA011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Ease of access</w:t>
            </w:r>
          </w:p>
        </w:tc>
        <w:tc>
          <w:tcPr>
            <w:tcW w:w="1870" w:type="dxa"/>
            <w:shd w:val="clear" w:color="auto" w:fill="BFBFBF"/>
          </w:tcPr>
          <w:p w14:paraId="42396B6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Asbestos type</w:t>
            </w:r>
          </w:p>
        </w:tc>
        <w:tc>
          <w:tcPr>
            <w:tcW w:w="1871" w:type="dxa"/>
            <w:shd w:val="clear" w:color="auto" w:fill="BFBFBF"/>
          </w:tcPr>
          <w:p w14:paraId="2FDA65A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Comment</w:t>
            </w:r>
          </w:p>
        </w:tc>
      </w:tr>
      <w:tr w:rsidR="003B338F" w14:paraId="0FCFF3AE" w14:textId="77777777">
        <w:tc>
          <w:tcPr>
            <w:tcW w:w="1870" w:type="dxa"/>
          </w:tcPr>
          <w:p w14:paraId="1659A72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Roof</w:t>
            </w:r>
          </w:p>
        </w:tc>
        <w:tc>
          <w:tcPr>
            <w:tcW w:w="1870" w:type="dxa"/>
          </w:tcPr>
          <w:p w14:paraId="086E2AF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Asbestos cement</w:t>
            </w:r>
          </w:p>
        </w:tc>
        <w:tc>
          <w:tcPr>
            <w:tcW w:w="1871" w:type="dxa"/>
          </w:tcPr>
          <w:p w14:paraId="0572BDC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Whole roof</w:t>
            </w:r>
          </w:p>
        </w:tc>
        <w:tc>
          <w:tcPr>
            <w:tcW w:w="1870" w:type="dxa"/>
          </w:tcPr>
          <w:p w14:paraId="1DE7BE7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None</w:t>
            </w:r>
          </w:p>
        </w:tc>
        <w:tc>
          <w:tcPr>
            <w:tcW w:w="1870" w:type="dxa"/>
          </w:tcPr>
          <w:p w14:paraId="5E83553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Fairly good</w:t>
            </w:r>
          </w:p>
        </w:tc>
        <w:tc>
          <w:tcPr>
            <w:tcW w:w="1871" w:type="dxa"/>
          </w:tcPr>
          <w:p w14:paraId="6F6810D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Difficult</w:t>
            </w:r>
          </w:p>
        </w:tc>
        <w:tc>
          <w:tcPr>
            <w:tcW w:w="1870" w:type="dxa"/>
          </w:tcPr>
          <w:p w14:paraId="065AF25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White</w:t>
            </w:r>
          </w:p>
        </w:tc>
        <w:tc>
          <w:tcPr>
            <w:tcW w:w="1871" w:type="dxa"/>
          </w:tcPr>
          <w:p w14:paraId="6A105669" w14:textId="77777777" w:rsidR="003B338F" w:rsidRDefault="003B338F">
            <w:pPr>
              <w:ind w:left="0" w:hanging="2"/>
              <w:rPr>
                <w:rFonts w:ascii="Bookman Old Style" w:eastAsia="Bookman Old Style" w:hAnsi="Bookman Old Style" w:cs="Bookman Old Style"/>
                <w:sz w:val="24"/>
                <w:szCs w:val="24"/>
              </w:rPr>
            </w:pPr>
          </w:p>
        </w:tc>
      </w:tr>
      <w:tr w:rsidR="003B338F" w14:paraId="10806E1A" w14:textId="77777777">
        <w:tc>
          <w:tcPr>
            <w:tcW w:w="1870" w:type="dxa"/>
          </w:tcPr>
          <w:p w14:paraId="37C4258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Store room</w:t>
            </w:r>
          </w:p>
        </w:tc>
        <w:tc>
          <w:tcPr>
            <w:tcW w:w="1870" w:type="dxa"/>
          </w:tcPr>
          <w:p w14:paraId="7AE0017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Pipes</w:t>
            </w:r>
          </w:p>
        </w:tc>
        <w:tc>
          <w:tcPr>
            <w:tcW w:w="1871" w:type="dxa"/>
          </w:tcPr>
          <w:p w14:paraId="7EA5C54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 xml:space="preserve">6 x 3m </w:t>
            </w:r>
          </w:p>
        </w:tc>
        <w:tc>
          <w:tcPr>
            <w:tcW w:w="1870" w:type="dxa"/>
          </w:tcPr>
          <w:p w14:paraId="388EA09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Metal case</w:t>
            </w:r>
          </w:p>
        </w:tc>
        <w:tc>
          <w:tcPr>
            <w:tcW w:w="1870" w:type="dxa"/>
          </w:tcPr>
          <w:p w14:paraId="52B3B2A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Good</w:t>
            </w:r>
          </w:p>
        </w:tc>
        <w:tc>
          <w:tcPr>
            <w:tcW w:w="1871" w:type="dxa"/>
          </w:tcPr>
          <w:p w14:paraId="52DA46F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Medium</w:t>
            </w:r>
          </w:p>
        </w:tc>
        <w:tc>
          <w:tcPr>
            <w:tcW w:w="1870" w:type="dxa"/>
          </w:tcPr>
          <w:p w14:paraId="1AE0C9A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rPr>
              <w:t>Unknown</w:t>
            </w:r>
          </w:p>
        </w:tc>
        <w:tc>
          <w:tcPr>
            <w:tcW w:w="1871" w:type="dxa"/>
          </w:tcPr>
          <w:p w14:paraId="3CA491F6" w14:textId="77777777" w:rsidR="003B338F" w:rsidRDefault="003B338F">
            <w:pPr>
              <w:ind w:left="0" w:hanging="2"/>
              <w:rPr>
                <w:rFonts w:ascii="Bookman Old Style" w:eastAsia="Bookman Old Style" w:hAnsi="Bookman Old Style" w:cs="Bookman Old Style"/>
                <w:sz w:val="24"/>
                <w:szCs w:val="24"/>
              </w:rPr>
            </w:pPr>
          </w:p>
        </w:tc>
      </w:tr>
      <w:tr w:rsidR="003B338F" w14:paraId="38AB294F" w14:textId="77777777">
        <w:tc>
          <w:tcPr>
            <w:tcW w:w="1870" w:type="dxa"/>
          </w:tcPr>
          <w:p w14:paraId="2A0C85DB" w14:textId="77777777" w:rsidR="003B338F" w:rsidRDefault="003B338F">
            <w:pPr>
              <w:ind w:left="0" w:hanging="2"/>
              <w:rPr>
                <w:rFonts w:ascii="Bookman Old Style" w:eastAsia="Bookman Old Style" w:hAnsi="Bookman Old Style" w:cs="Bookman Old Style"/>
              </w:rPr>
            </w:pPr>
          </w:p>
        </w:tc>
        <w:tc>
          <w:tcPr>
            <w:tcW w:w="1870" w:type="dxa"/>
          </w:tcPr>
          <w:p w14:paraId="3D77F50E"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3E00F367"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45867DAD"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539025B8"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5C03F5CF"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1EF9EA9B"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74A9FF11" w14:textId="77777777" w:rsidR="003B338F" w:rsidRDefault="003B338F">
            <w:pPr>
              <w:ind w:left="0" w:hanging="2"/>
              <w:rPr>
                <w:rFonts w:ascii="Bookman Old Style" w:eastAsia="Bookman Old Style" w:hAnsi="Bookman Old Style" w:cs="Bookman Old Style"/>
                <w:sz w:val="24"/>
                <w:szCs w:val="24"/>
              </w:rPr>
            </w:pPr>
          </w:p>
        </w:tc>
      </w:tr>
      <w:tr w:rsidR="003B338F" w14:paraId="00EF2821" w14:textId="77777777">
        <w:tc>
          <w:tcPr>
            <w:tcW w:w="1870" w:type="dxa"/>
          </w:tcPr>
          <w:p w14:paraId="195C988A" w14:textId="77777777" w:rsidR="003B338F" w:rsidRDefault="003B338F">
            <w:pPr>
              <w:ind w:left="0" w:hanging="2"/>
              <w:rPr>
                <w:rFonts w:ascii="Bookman Old Style" w:eastAsia="Bookman Old Style" w:hAnsi="Bookman Old Style" w:cs="Bookman Old Style"/>
              </w:rPr>
            </w:pPr>
          </w:p>
        </w:tc>
        <w:tc>
          <w:tcPr>
            <w:tcW w:w="1870" w:type="dxa"/>
          </w:tcPr>
          <w:p w14:paraId="10549BA3"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18E363DB"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667A7F67"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04769120"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53AA3205"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434DC8E7"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1A210CA7" w14:textId="77777777" w:rsidR="003B338F" w:rsidRDefault="003B338F">
            <w:pPr>
              <w:ind w:left="0" w:hanging="2"/>
              <w:rPr>
                <w:rFonts w:ascii="Bookman Old Style" w:eastAsia="Bookman Old Style" w:hAnsi="Bookman Old Style" w:cs="Bookman Old Style"/>
                <w:sz w:val="24"/>
                <w:szCs w:val="24"/>
              </w:rPr>
            </w:pPr>
          </w:p>
        </w:tc>
      </w:tr>
      <w:tr w:rsidR="003B338F" w14:paraId="07F926C9" w14:textId="77777777">
        <w:tc>
          <w:tcPr>
            <w:tcW w:w="1870" w:type="dxa"/>
          </w:tcPr>
          <w:p w14:paraId="71E33C13" w14:textId="77777777" w:rsidR="003B338F" w:rsidRDefault="003B338F">
            <w:pPr>
              <w:ind w:left="0" w:hanging="2"/>
              <w:rPr>
                <w:rFonts w:ascii="Bookman Old Style" w:eastAsia="Bookman Old Style" w:hAnsi="Bookman Old Style" w:cs="Bookman Old Style"/>
              </w:rPr>
            </w:pPr>
          </w:p>
        </w:tc>
        <w:tc>
          <w:tcPr>
            <w:tcW w:w="1870" w:type="dxa"/>
          </w:tcPr>
          <w:p w14:paraId="358486B0"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382FCE9A"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1D15BA6C"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659D77DB"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650BF65B"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16F6ED2F"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19F5DBAC" w14:textId="77777777" w:rsidR="003B338F" w:rsidRDefault="003B338F">
            <w:pPr>
              <w:ind w:left="0" w:hanging="2"/>
              <w:rPr>
                <w:rFonts w:ascii="Bookman Old Style" w:eastAsia="Bookman Old Style" w:hAnsi="Bookman Old Style" w:cs="Bookman Old Style"/>
                <w:sz w:val="24"/>
                <w:szCs w:val="24"/>
              </w:rPr>
            </w:pPr>
          </w:p>
        </w:tc>
      </w:tr>
      <w:tr w:rsidR="003B338F" w14:paraId="0BE86A50" w14:textId="77777777">
        <w:tc>
          <w:tcPr>
            <w:tcW w:w="1870" w:type="dxa"/>
          </w:tcPr>
          <w:p w14:paraId="7C51A390" w14:textId="77777777" w:rsidR="003B338F" w:rsidRDefault="003B338F">
            <w:pPr>
              <w:ind w:left="0" w:hanging="2"/>
              <w:rPr>
                <w:rFonts w:ascii="Bookman Old Style" w:eastAsia="Bookman Old Style" w:hAnsi="Bookman Old Style" w:cs="Bookman Old Style"/>
              </w:rPr>
            </w:pPr>
          </w:p>
        </w:tc>
        <w:tc>
          <w:tcPr>
            <w:tcW w:w="1870" w:type="dxa"/>
          </w:tcPr>
          <w:p w14:paraId="62FCD481"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1871492F"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4D114E44"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2BF45767"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57C9D5F2"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75218259"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21927D94" w14:textId="77777777" w:rsidR="003B338F" w:rsidRDefault="003B338F">
            <w:pPr>
              <w:ind w:left="0" w:hanging="2"/>
              <w:rPr>
                <w:rFonts w:ascii="Bookman Old Style" w:eastAsia="Bookman Old Style" w:hAnsi="Bookman Old Style" w:cs="Bookman Old Style"/>
                <w:sz w:val="24"/>
                <w:szCs w:val="24"/>
              </w:rPr>
            </w:pPr>
          </w:p>
        </w:tc>
      </w:tr>
      <w:tr w:rsidR="003B338F" w14:paraId="06580095" w14:textId="77777777">
        <w:tc>
          <w:tcPr>
            <w:tcW w:w="1870" w:type="dxa"/>
          </w:tcPr>
          <w:p w14:paraId="6E4346D7" w14:textId="77777777" w:rsidR="003B338F" w:rsidRDefault="003B338F">
            <w:pPr>
              <w:ind w:left="0" w:hanging="2"/>
              <w:rPr>
                <w:rFonts w:ascii="Bookman Old Style" w:eastAsia="Bookman Old Style" w:hAnsi="Bookman Old Style" w:cs="Bookman Old Style"/>
              </w:rPr>
            </w:pPr>
          </w:p>
        </w:tc>
        <w:tc>
          <w:tcPr>
            <w:tcW w:w="1870" w:type="dxa"/>
          </w:tcPr>
          <w:p w14:paraId="2601A6C2"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286735AC"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1A82CF1E"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27507E41"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56083A9C"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14BD58F4"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3F0A39CB" w14:textId="77777777" w:rsidR="003B338F" w:rsidRDefault="003B338F">
            <w:pPr>
              <w:ind w:left="0" w:hanging="2"/>
              <w:rPr>
                <w:rFonts w:ascii="Bookman Old Style" w:eastAsia="Bookman Old Style" w:hAnsi="Bookman Old Style" w:cs="Bookman Old Style"/>
                <w:sz w:val="24"/>
                <w:szCs w:val="24"/>
              </w:rPr>
            </w:pPr>
          </w:p>
        </w:tc>
      </w:tr>
      <w:tr w:rsidR="003B338F" w14:paraId="51E5760C" w14:textId="77777777">
        <w:tc>
          <w:tcPr>
            <w:tcW w:w="1870" w:type="dxa"/>
          </w:tcPr>
          <w:p w14:paraId="791B13D1" w14:textId="77777777" w:rsidR="003B338F" w:rsidRDefault="003B338F">
            <w:pPr>
              <w:ind w:left="0" w:hanging="2"/>
              <w:rPr>
                <w:rFonts w:ascii="Bookman Old Style" w:eastAsia="Bookman Old Style" w:hAnsi="Bookman Old Style" w:cs="Bookman Old Style"/>
              </w:rPr>
            </w:pPr>
          </w:p>
        </w:tc>
        <w:tc>
          <w:tcPr>
            <w:tcW w:w="1870" w:type="dxa"/>
          </w:tcPr>
          <w:p w14:paraId="1ED421E7"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4B2560D3"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74006A8C"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4F046C47"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77BABD86" w14:textId="77777777" w:rsidR="003B338F" w:rsidRDefault="003B338F">
            <w:pPr>
              <w:ind w:left="0" w:hanging="2"/>
              <w:rPr>
                <w:rFonts w:ascii="Bookman Old Style" w:eastAsia="Bookman Old Style" w:hAnsi="Bookman Old Style" w:cs="Bookman Old Style"/>
                <w:sz w:val="24"/>
                <w:szCs w:val="24"/>
              </w:rPr>
            </w:pPr>
          </w:p>
        </w:tc>
        <w:tc>
          <w:tcPr>
            <w:tcW w:w="1870" w:type="dxa"/>
          </w:tcPr>
          <w:p w14:paraId="5205C6CC" w14:textId="77777777" w:rsidR="003B338F" w:rsidRDefault="003B338F">
            <w:pPr>
              <w:ind w:left="0" w:hanging="2"/>
              <w:rPr>
                <w:rFonts w:ascii="Bookman Old Style" w:eastAsia="Bookman Old Style" w:hAnsi="Bookman Old Style" w:cs="Bookman Old Style"/>
                <w:sz w:val="24"/>
                <w:szCs w:val="24"/>
              </w:rPr>
            </w:pPr>
          </w:p>
        </w:tc>
        <w:tc>
          <w:tcPr>
            <w:tcW w:w="1871" w:type="dxa"/>
          </w:tcPr>
          <w:p w14:paraId="42A86989" w14:textId="77777777" w:rsidR="003B338F" w:rsidRDefault="003B338F">
            <w:pPr>
              <w:ind w:left="0" w:hanging="2"/>
              <w:rPr>
                <w:rFonts w:ascii="Bookman Old Style" w:eastAsia="Bookman Old Style" w:hAnsi="Bookman Old Style" w:cs="Bookman Old Style"/>
                <w:sz w:val="24"/>
                <w:szCs w:val="24"/>
              </w:rPr>
            </w:pPr>
          </w:p>
        </w:tc>
      </w:tr>
    </w:tbl>
    <w:p w14:paraId="6AEE9CEC" w14:textId="77777777" w:rsidR="003B338F" w:rsidRDefault="003B338F">
      <w:pPr>
        <w:ind w:left="0" w:hanging="2"/>
        <w:rPr>
          <w:rFonts w:ascii="Bookman Old Style" w:eastAsia="Bookman Old Style" w:hAnsi="Bookman Old Style" w:cs="Bookman Old Style"/>
        </w:rPr>
      </w:pPr>
    </w:p>
    <w:p w14:paraId="5F06FF85" w14:textId="77777777" w:rsidR="003B338F" w:rsidRDefault="003B338F">
      <w:pPr>
        <w:ind w:left="1" w:hanging="3"/>
        <w:rPr>
          <w:rFonts w:ascii="Bookman Old Style" w:eastAsia="Bookman Old Style" w:hAnsi="Bookman Old Style" w:cs="Bookman Old Style"/>
          <w:sz w:val="28"/>
          <w:szCs w:val="28"/>
        </w:rPr>
        <w:sectPr w:rsidR="003B338F">
          <w:pgSz w:w="16840" w:h="11900" w:orient="landscape"/>
          <w:pgMar w:top="1134" w:right="1134" w:bottom="1134" w:left="851" w:header="567" w:footer="567" w:gutter="0"/>
          <w:cols w:space="720"/>
          <w:titlePg/>
        </w:sectPr>
      </w:pPr>
    </w:p>
    <w:p w14:paraId="2A857FD6" w14:textId="77777777" w:rsidR="003B338F" w:rsidRDefault="00000000">
      <w:pPr>
        <w:pStyle w:val="Heading1"/>
        <w:ind w:left="1" w:hanging="3"/>
        <w:rPr>
          <w:rFonts w:ascii="Bookman Old Style" w:eastAsia="Bookman Old Style" w:hAnsi="Bookman Old Style" w:cs="Bookman Old Style"/>
          <w:sz w:val="28"/>
          <w:szCs w:val="28"/>
        </w:rPr>
      </w:pPr>
      <w:bookmarkStart w:id="28" w:name="_heading=h.ihv636" w:colFirst="0" w:colLast="0"/>
      <w:bookmarkEnd w:id="28"/>
      <w:r>
        <w:rPr>
          <w:rFonts w:ascii="Bookman Old Style" w:eastAsia="Bookman Old Style" w:hAnsi="Bookman Old Style" w:cs="Bookman Old Style"/>
          <w:sz w:val="28"/>
          <w:szCs w:val="28"/>
        </w:rPr>
        <w:lastRenderedPageBreak/>
        <w:t>Appendix 4. Recommended absence period for preventing the spread of infection (example only)</w:t>
      </w:r>
    </w:p>
    <w:p w14:paraId="5E860B82" w14:textId="77777777" w:rsidR="003B338F" w:rsidRDefault="00000000">
      <w:pPr>
        <w:spacing w:after="160" w:line="259" w:lineRule="auto"/>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This list of recommended absence periods for preventing the spread of infection is taken from non-statutory guidance for schools and other childcare settings from Public Health England. For each of these infections or complaints, there </w:t>
      </w:r>
      <w:hyperlink r:id="rId24">
        <w:r w:rsidR="003B338F">
          <w:rPr>
            <w:rFonts w:ascii="Bookman Old Style" w:eastAsia="Bookman Old Style" w:hAnsi="Bookman Old Style" w:cs="Bookman Old Style"/>
            <w:color w:val="0092CF"/>
            <w:sz w:val="20"/>
            <w:szCs w:val="20"/>
            <w:u w:val="single"/>
          </w:rPr>
          <w:t>is further information in the guidance on the symptoms, how it spreads and some ‘do’s and don’ts’ to follow that you can check</w:t>
        </w:r>
      </w:hyperlink>
      <w:r>
        <w:rPr>
          <w:rFonts w:ascii="Bookman Old Style" w:eastAsia="Bookman Old Style" w:hAnsi="Bookman Old Style" w:cs="Bookman Old Style"/>
        </w:rPr>
        <w:t>.</w:t>
      </w:r>
    </w:p>
    <w:tbl>
      <w:tblPr>
        <w:tblStyle w:val="a3"/>
        <w:tblW w:w="8529" w:type="dxa"/>
        <w:tblInd w:w="-108" w:type="dxa"/>
        <w:tblBorders>
          <w:top w:val="single" w:sz="18" w:space="0" w:color="BFBFBF"/>
          <w:left w:val="single" w:sz="18" w:space="0" w:color="BFBFBF"/>
          <w:bottom w:val="single" w:sz="18" w:space="0" w:color="BFBFBF"/>
          <w:right w:val="single" w:sz="18" w:space="0" w:color="BFBFBF"/>
          <w:insideH w:val="single" w:sz="18" w:space="0" w:color="BFBFBF"/>
          <w:insideV w:val="single" w:sz="18" w:space="0" w:color="BFBFBF"/>
        </w:tblBorders>
        <w:tblLayout w:type="fixed"/>
        <w:tblLook w:val="0000" w:firstRow="0" w:lastRow="0" w:firstColumn="0" w:lastColumn="0" w:noHBand="0" w:noVBand="0"/>
      </w:tblPr>
      <w:tblGrid>
        <w:gridCol w:w="3036"/>
        <w:gridCol w:w="5493"/>
      </w:tblGrid>
      <w:tr w:rsidR="003B338F" w14:paraId="63C61432" w14:textId="77777777">
        <w:trPr>
          <w:trHeight w:val="27"/>
        </w:trPr>
        <w:tc>
          <w:tcPr>
            <w:tcW w:w="3036" w:type="dxa"/>
            <w:shd w:val="clear" w:color="auto" w:fill="BFBFBF"/>
          </w:tcPr>
          <w:p w14:paraId="5774611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Infection or complaint</w:t>
            </w:r>
          </w:p>
        </w:tc>
        <w:tc>
          <w:tcPr>
            <w:tcW w:w="5493" w:type="dxa"/>
            <w:shd w:val="clear" w:color="auto" w:fill="BFBFBF"/>
          </w:tcPr>
          <w:p w14:paraId="26BE0B5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Recommended period to be kept away from school or nursery</w:t>
            </w:r>
          </w:p>
        </w:tc>
      </w:tr>
      <w:tr w:rsidR="003B338F" w14:paraId="6BD9BE76" w14:textId="77777777">
        <w:trPr>
          <w:trHeight w:val="27"/>
        </w:trPr>
        <w:tc>
          <w:tcPr>
            <w:tcW w:w="3036" w:type="dxa"/>
          </w:tcPr>
          <w:p w14:paraId="4101AB3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Athlete’s foot</w:t>
            </w:r>
          </w:p>
        </w:tc>
        <w:tc>
          <w:tcPr>
            <w:tcW w:w="5493" w:type="dxa"/>
          </w:tcPr>
          <w:p w14:paraId="781229C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6D320BCE" w14:textId="77777777">
        <w:trPr>
          <w:trHeight w:val="467"/>
        </w:trPr>
        <w:tc>
          <w:tcPr>
            <w:tcW w:w="3036" w:type="dxa"/>
          </w:tcPr>
          <w:p w14:paraId="1B6CA8C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Campylobacter</w:t>
            </w:r>
          </w:p>
        </w:tc>
        <w:tc>
          <w:tcPr>
            <w:tcW w:w="5493" w:type="dxa"/>
          </w:tcPr>
          <w:p w14:paraId="3293DA7F"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after symptoms have stopped.</w:t>
            </w:r>
          </w:p>
        </w:tc>
      </w:tr>
      <w:tr w:rsidR="003B338F" w14:paraId="744AEA77" w14:textId="77777777">
        <w:trPr>
          <w:trHeight w:val="562"/>
        </w:trPr>
        <w:tc>
          <w:tcPr>
            <w:tcW w:w="3036" w:type="dxa"/>
          </w:tcPr>
          <w:p w14:paraId="33FBDD9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Chicken pox (shingles)</w:t>
            </w:r>
          </w:p>
        </w:tc>
        <w:tc>
          <w:tcPr>
            <w:tcW w:w="5493" w:type="dxa"/>
          </w:tcPr>
          <w:p w14:paraId="6070B82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Cases of chickenpox are generally infectious from 2 days before the rash appears to 5 days after the onset of rash. Although the usual exclusion period is 5 days, all lesions should be crusted over before children return to nursery or school.</w:t>
            </w:r>
          </w:p>
          <w:p w14:paraId="5F55A940"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A person with shingles is infectious to those who have not had chickenpox and should be excluded from school if the rash is weeping and cannot be covered or until the rash is dry and crusted over.</w:t>
            </w:r>
          </w:p>
        </w:tc>
      </w:tr>
      <w:tr w:rsidR="003B338F" w14:paraId="1CF55905" w14:textId="77777777">
        <w:trPr>
          <w:trHeight w:val="467"/>
        </w:trPr>
        <w:tc>
          <w:tcPr>
            <w:tcW w:w="3036" w:type="dxa"/>
          </w:tcPr>
          <w:p w14:paraId="7911DED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 xml:space="preserve">Cold sores </w:t>
            </w:r>
          </w:p>
        </w:tc>
        <w:tc>
          <w:tcPr>
            <w:tcW w:w="5493" w:type="dxa"/>
          </w:tcPr>
          <w:p w14:paraId="3D9F2258"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0EB9EE90" w14:textId="77777777">
        <w:trPr>
          <w:trHeight w:val="467"/>
        </w:trPr>
        <w:tc>
          <w:tcPr>
            <w:tcW w:w="3036" w:type="dxa"/>
          </w:tcPr>
          <w:p w14:paraId="0B64E07F" w14:textId="77777777" w:rsidR="003B338F" w:rsidRDefault="00000000">
            <w:pPr>
              <w:ind w:left="0" w:hanging="2"/>
              <w:rPr>
                <w:rFonts w:ascii="Bookman Old Style" w:eastAsia="Bookman Old Style" w:hAnsi="Bookman Old Style" w:cs="Bookman Old Style"/>
                <w:b/>
              </w:rPr>
            </w:pPr>
            <w:r>
              <w:rPr>
                <w:rFonts w:ascii="Bookman Old Style" w:eastAsia="Bookman Old Style" w:hAnsi="Bookman Old Style" w:cs="Bookman Old Style"/>
                <w:b/>
              </w:rPr>
              <w:t>Respiratory infections including coronavirus (COVID-19)</w:t>
            </w:r>
          </w:p>
        </w:tc>
        <w:tc>
          <w:tcPr>
            <w:tcW w:w="5493" w:type="dxa"/>
          </w:tcPr>
          <w:p w14:paraId="38052D26" w14:textId="77777777" w:rsidR="003B338F" w:rsidRDefault="00000000">
            <w:pPr>
              <w:ind w:left="0" w:hanging="2"/>
              <w:jc w:val="both"/>
              <w:rPr>
                <w:sz w:val="20"/>
                <w:szCs w:val="20"/>
              </w:rPr>
            </w:pPr>
            <w:r>
              <w:rPr>
                <w:sz w:val="20"/>
                <w:szCs w:val="20"/>
              </w:rPr>
              <w:t>Young people should not attend if they have a high temperature and are unwell.</w:t>
            </w:r>
          </w:p>
          <w:p w14:paraId="39A1C972" w14:textId="77777777" w:rsidR="003B338F" w:rsidRDefault="00000000">
            <w:pPr>
              <w:ind w:left="0" w:hanging="2"/>
              <w:jc w:val="both"/>
              <w:rPr>
                <w:rFonts w:ascii="Bookman Old Style" w:eastAsia="Bookman Old Style" w:hAnsi="Bookman Old Style" w:cs="Bookman Old Style"/>
              </w:rPr>
            </w:pPr>
            <w:r>
              <w:rPr>
                <w:sz w:val="20"/>
                <w:szCs w:val="20"/>
              </w:rPr>
              <w:t>Anyone with a positive test result for COVID-19 should not attend the setting for 3 days after the day of the test</w:t>
            </w:r>
          </w:p>
        </w:tc>
      </w:tr>
      <w:tr w:rsidR="003B338F" w14:paraId="498CF976" w14:textId="77777777">
        <w:trPr>
          <w:trHeight w:val="482"/>
        </w:trPr>
        <w:tc>
          <w:tcPr>
            <w:tcW w:w="3036" w:type="dxa"/>
          </w:tcPr>
          <w:p w14:paraId="0E01BD1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Rubella (German measles)</w:t>
            </w:r>
          </w:p>
        </w:tc>
        <w:tc>
          <w:tcPr>
            <w:tcW w:w="5493" w:type="dxa"/>
            <w:tcBorders>
              <w:top w:val="single" w:sz="4" w:space="0" w:color="000000"/>
              <w:left w:val="single" w:sz="4" w:space="0" w:color="000000"/>
              <w:bottom w:val="single" w:sz="4" w:space="0" w:color="000000"/>
              <w:right w:val="single" w:sz="4" w:space="0" w:color="000000"/>
            </w:tcBorders>
            <w:shd w:val="clear" w:color="auto" w:fill="FFFFFF"/>
          </w:tcPr>
          <w:p w14:paraId="73C0E13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5 days from appearance of the rash.</w:t>
            </w:r>
          </w:p>
        </w:tc>
      </w:tr>
      <w:tr w:rsidR="003B338F" w14:paraId="5A0CA6DA" w14:textId="77777777">
        <w:trPr>
          <w:trHeight w:val="467"/>
        </w:trPr>
        <w:tc>
          <w:tcPr>
            <w:tcW w:w="3036" w:type="dxa"/>
          </w:tcPr>
          <w:p w14:paraId="404AEEB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Hand, foot and mouth</w:t>
            </w:r>
          </w:p>
        </w:tc>
        <w:tc>
          <w:tcPr>
            <w:tcW w:w="5493" w:type="dxa"/>
          </w:tcPr>
          <w:p w14:paraId="15B4F44B"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Children are safe to return to school or nursery as soon as they are feeling better, there is no need to stay off until the blisters have all healed.</w:t>
            </w:r>
          </w:p>
        </w:tc>
      </w:tr>
      <w:tr w:rsidR="003B338F" w14:paraId="4B3B7C48" w14:textId="77777777">
        <w:trPr>
          <w:trHeight w:val="27"/>
        </w:trPr>
        <w:tc>
          <w:tcPr>
            <w:tcW w:w="3036" w:type="dxa"/>
          </w:tcPr>
          <w:p w14:paraId="3269EF9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Impetigo</w:t>
            </w:r>
          </w:p>
        </w:tc>
        <w:tc>
          <w:tcPr>
            <w:tcW w:w="5493" w:type="dxa"/>
          </w:tcPr>
          <w:p w14:paraId="251900A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lesions are crusted and healed, or 48 hours after starting antibiotic treatment.</w:t>
            </w:r>
          </w:p>
        </w:tc>
      </w:tr>
      <w:tr w:rsidR="003B338F" w14:paraId="399E83B1" w14:textId="77777777">
        <w:trPr>
          <w:trHeight w:val="467"/>
        </w:trPr>
        <w:tc>
          <w:tcPr>
            <w:tcW w:w="3036" w:type="dxa"/>
          </w:tcPr>
          <w:p w14:paraId="441BC00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Measles</w:t>
            </w:r>
          </w:p>
        </w:tc>
        <w:tc>
          <w:tcPr>
            <w:tcW w:w="5493" w:type="dxa"/>
          </w:tcPr>
          <w:p w14:paraId="77A2BFA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Cases are infectious from 4 days before onset of rash to 4 days after so it is important to ensure cases are excluded from school during this period.</w:t>
            </w:r>
          </w:p>
        </w:tc>
      </w:tr>
      <w:tr w:rsidR="003B338F" w14:paraId="12517FF3" w14:textId="77777777">
        <w:trPr>
          <w:trHeight w:val="467"/>
        </w:trPr>
        <w:tc>
          <w:tcPr>
            <w:tcW w:w="3036" w:type="dxa"/>
          </w:tcPr>
          <w:p w14:paraId="112EEF0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Ringworm</w:t>
            </w:r>
          </w:p>
        </w:tc>
        <w:tc>
          <w:tcPr>
            <w:tcW w:w="5493" w:type="dxa"/>
          </w:tcPr>
          <w:p w14:paraId="50957FB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Exclusion not needed once treatment has started.</w:t>
            </w:r>
          </w:p>
        </w:tc>
      </w:tr>
      <w:tr w:rsidR="003B338F" w14:paraId="56A8F770" w14:textId="77777777">
        <w:trPr>
          <w:trHeight w:val="482"/>
        </w:trPr>
        <w:tc>
          <w:tcPr>
            <w:tcW w:w="3036" w:type="dxa"/>
          </w:tcPr>
          <w:p w14:paraId="5BA6596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lastRenderedPageBreak/>
              <w:t>Scabies</w:t>
            </w:r>
          </w:p>
        </w:tc>
        <w:tc>
          <w:tcPr>
            <w:tcW w:w="5493" w:type="dxa"/>
          </w:tcPr>
          <w:p w14:paraId="17C0B33D"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infected child or staff member should be excluded until after the first treatment has been carried out.</w:t>
            </w:r>
          </w:p>
        </w:tc>
      </w:tr>
      <w:tr w:rsidR="003B338F" w14:paraId="5D6D9FE6" w14:textId="77777777">
        <w:trPr>
          <w:trHeight w:val="357"/>
        </w:trPr>
        <w:tc>
          <w:tcPr>
            <w:tcW w:w="3036" w:type="dxa"/>
          </w:tcPr>
          <w:p w14:paraId="2B295A15"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Scarlet fever</w:t>
            </w:r>
          </w:p>
        </w:tc>
        <w:tc>
          <w:tcPr>
            <w:tcW w:w="5493" w:type="dxa"/>
          </w:tcPr>
          <w:p w14:paraId="6C719BA9"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Children can return to school 24 hours after commencing appropriate antibiotic treatment. If no antibiotics have been administered the person will be infectious for 2 to 3 weeks. If there is an outbreak of scarlet fever at the school or nursery, the health protection team will assist with letters and factsheet to send to parents or carers and staff.</w:t>
            </w:r>
          </w:p>
        </w:tc>
      </w:tr>
      <w:tr w:rsidR="003B338F" w14:paraId="77FF132D" w14:textId="77777777">
        <w:trPr>
          <w:trHeight w:val="27"/>
        </w:trPr>
        <w:tc>
          <w:tcPr>
            <w:tcW w:w="3036" w:type="dxa"/>
          </w:tcPr>
          <w:p w14:paraId="519C1DF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Slapped cheek syndrome, Parvovirus B19, Fifth’s disease</w:t>
            </w:r>
          </w:p>
        </w:tc>
        <w:tc>
          <w:tcPr>
            <w:tcW w:w="5493" w:type="dxa"/>
          </w:tcPr>
          <w:p w14:paraId="6D3727CF"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 (not infectious by the time the rash has developed).</w:t>
            </w:r>
          </w:p>
        </w:tc>
      </w:tr>
      <w:tr w:rsidR="003B338F" w14:paraId="2CE5C04C" w14:textId="77777777">
        <w:trPr>
          <w:trHeight w:val="935"/>
        </w:trPr>
        <w:tc>
          <w:tcPr>
            <w:tcW w:w="3036" w:type="dxa"/>
          </w:tcPr>
          <w:p w14:paraId="0F8FA39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Bacillary Dysentery (Shigella)</w:t>
            </w:r>
          </w:p>
        </w:tc>
        <w:tc>
          <w:tcPr>
            <w:tcW w:w="5493" w:type="dxa"/>
          </w:tcPr>
          <w:p w14:paraId="14842756"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Microbiological clearance is required for some types of shigella species prior to the child or food handler returning to school.</w:t>
            </w:r>
          </w:p>
        </w:tc>
      </w:tr>
      <w:tr w:rsidR="003B338F" w14:paraId="2BCC7521" w14:textId="77777777">
        <w:trPr>
          <w:trHeight w:val="709"/>
        </w:trPr>
        <w:tc>
          <w:tcPr>
            <w:tcW w:w="3036" w:type="dxa"/>
          </w:tcPr>
          <w:p w14:paraId="050EE3F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Diarrhoea and/or vomiting (Gastroenteritis)</w:t>
            </w:r>
          </w:p>
        </w:tc>
        <w:tc>
          <w:tcPr>
            <w:tcW w:w="5493" w:type="dxa"/>
          </w:tcPr>
          <w:p w14:paraId="274CA26C"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Children and adults with diarrhoea or vomiting should be excluded until 48 hours after symptoms have stopped and they are well enough to return. If medication is prescribed, ensure that the full course is completed and there is no further diarrhoea or vomiting for 48 hours after the course is completed.</w:t>
            </w:r>
          </w:p>
          <w:p w14:paraId="41FFD05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For some gastrointestinal infections, longer periods of exclusion from school are required and there may be a need to obtain microbiological clearance. For these groups, your local health protection team, school health advisor or environmental health officer will advise.</w:t>
            </w:r>
          </w:p>
          <w:p w14:paraId="0DE881E9"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If a child has been diagnosed with cryptosporidium, they should NOT go swimming for 2 weeks following the last episode of diarrhoea.</w:t>
            </w:r>
          </w:p>
        </w:tc>
      </w:tr>
      <w:tr w:rsidR="003B338F" w14:paraId="580FCAFC" w14:textId="77777777">
        <w:trPr>
          <w:trHeight w:val="467"/>
        </w:trPr>
        <w:tc>
          <w:tcPr>
            <w:tcW w:w="3036" w:type="dxa"/>
          </w:tcPr>
          <w:p w14:paraId="5DB63047"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Cryptosporidiosis</w:t>
            </w:r>
          </w:p>
        </w:tc>
        <w:tc>
          <w:tcPr>
            <w:tcW w:w="5493" w:type="dxa"/>
          </w:tcPr>
          <w:p w14:paraId="316703F6"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after symptoms have stopped.</w:t>
            </w:r>
          </w:p>
        </w:tc>
      </w:tr>
      <w:tr w:rsidR="003B338F" w14:paraId="4B733211" w14:textId="77777777">
        <w:trPr>
          <w:trHeight w:val="1161"/>
        </w:trPr>
        <w:tc>
          <w:tcPr>
            <w:tcW w:w="3036" w:type="dxa"/>
          </w:tcPr>
          <w:p w14:paraId="70EAFE7C"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E. coli (verocytotoxigenic or VTEC)</w:t>
            </w:r>
          </w:p>
        </w:tc>
        <w:tc>
          <w:tcPr>
            <w:tcW w:w="5493" w:type="dxa"/>
          </w:tcPr>
          <w:p w14:paraId="0231CC3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The standard exclusion period is until 48 hours after symptoms have resolved. However, some people pose a greater risk to others and may be excluded until they have a negative stool sample (for example, pre-school infants, food handlers, and care staff working with vulnerable people). The health protection team will advise in these instances.</w:t>
            </w:r>
          </w:p>
        </w:tc>
      </w:tr>
      <w:tr w:rsidR="003B338F" w14:paraId="58010D7B" w14:textId="77777777">
        <w:trPr>
          <w:trHeight w:val="935"/>
        </w:trPr>
        <w:tc>
          <w:tcPr>
            <w:tcW w:w="3036" w:type="dxa"/>
          </w:tcPr>
          <w:p w14:paraId="1D548DD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lastRenderedPageBreak/>
              <w:t>Food poisoning</w:t>
            </w:r>
          </w:p>
        </w:tc>
        <w:tc>
          <w:tcPr>
            <w:tcW w:w="5493" w:type="dxa"/>
          </w:tcPr>
          <w:p w14:paraId="4FD275E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from the last episode of vomiting and diarrhoea and they are well enough to return. Some infections may require longer periods (local health protection team will advise).</w:t>
            </w:r>
          </w:p>
        </w:tc>
      </w:tr>
      <w:tr w:rsidR="003B338F" w14:paraId="446CEAB4" w14:textId="77777777">
        <w:trPr>
          <w:trHeight w:val="467"/>
        </w:trPr>
        <w:tc>
          <w:tcPr>
            <w:tcW w:w="3036" w:type="dxa"/>
          </w:tcPr>
          <w:p w14:paraId="3B6F123B"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Salmonella</w:t>
            </w:r>
          </w:p>
        </w:tc>
        <w:tc>
          <w:tcPr>
            <w:tcW w:w="5493" w:type="dxa"/>
          </w:tcPr>
          <w:p w14:paraId="2F1B4683"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after symptoms have stopped.</w:t>
            </w:r>
          </w:p>
        </w:tc>
      </w:tr>
      <w:tr w:rsidR="003B338F" w14:paraId="08670E33" w14:textId="77777777">
        <w:trPr>
          <w:trHeight w:val="709"/>
        </w:trPr>
        <w:tc>
          <w:tcPr>
            <w:tcW w:w="3036" w:type="dxa"/>
          </w:tcPr>
          <w:p w14:paraId="2174D07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Typhoid and Paratyphoid fever</w:t>
            </w:r>
          </w:p>
        </w:tc>
        <w:tc>
          <w:tcPr>
            <w:tcW w:w="5493" w:type="dxa"/>
          </w:tcPr>
          <w:p w14:paraId="196D1263"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Seek advice from environmental health officers or the local health protection team. </w:t>
            </w:r>
          </w:p>
        </w:tc>
      </w:tr>
      <w:tr w:rsidR="003B338F" w14:paraId="72A5F6B0" w14:textId="77777777">
        <w:trPr>
          <w:trHeight w:val="482"/>
        </w:trPr>
        <w:tc>
          <w:tcPr>
            <w:tcW w:w="3036" w:type="dxa"/>
          </w:tcPr>
          <w:p w14:paraId="749870C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Flu (influenza)</w:t>
            </w:r>
          </w:p>
        </w:tc>
        <w:tc>
          <w:tcPr>
            <w:tcW w:w="5493" w:type="dxa"/>
          </w:tcPr>
          <w:p w14:paraId="172B494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recovered.</w:t>
            </w:r>
          </w:p>
        </w:tc>
      </w:tr>
      <w:tr w:rsidR="003B338F" w14:paraId="3F0A436A" w14:textId="77777777">
        <w:trPr>
          <w:trHeight w:val="789"/>
        </w:trPr>
        <w:tc>
          <w:tcPr>
            <w:tcW w:w="3036" w:type="dxa"/>
          </w:tcPr>
          <w:p w14:paraId="63F5A0F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Tuberculosis (TB)</w:t>
            </w:r>
          </w:p>
        </w:tc>
        <w:tc>
          <w:tcPr>
            <w:tcW w:w="5493" w:type="dxa"/>
          </w:tcPr>
          <w:p w14:paraId="612E0F35"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Pupils and staff with infectious TB can return to school after 2 weeks of treatment if well enough to do so and as long as they have responded to anti-TB therapy. Pupils and staff with non-pulmonary TB do not require exclusion and can return to school as soon as they are well enough.</w:t>
            </w:r>
          </w:p>
        </w:tc>
      </w:tr>
      <w:tr w:rsidR="003B338F" w14:paraId="49D57077" w14:textId="77777777">
        <w:trPr>
          <w:trHeight w:val="437"/>
        </w:trPr>
        <w:tc>
          <w:tcPr>
            <w:tcW w:w="3036" w:type="dxa"/>
          </w:tcPr>
          <w:p w14:paraId="07C90736"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Whooping cough (pertussis)</w:t>
            </w:r>
          </w:p>
        </w:tc>
        <w:tc>
          <w:tcPr>
            <w:tcW w:w="5493" w:type="dxa"/>
          </w:tcPr>
          <w:p w14:paraId="462663F4"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A child or staff member should not return to school until they have had 48 hours of appropriate treatment with antibiotics and they feel well enough to do so or 21 days from onset of illness if no antibiotic treatment.</w:t>
            </w:r>
          </w:p>
        </w:tc>
      </w:tr>
      <w:tr w:rsidR="003B338F" w14:paraId="2B7FE38F" w14:textId="77777777">
        <w:trPr>
          <w:trHeight w:val="467"/>
        </w:trPr>
        <w:tc>
          <w:tcPr>
            <w:tcW w:w="3036" w:type="dxa"/>
          </w:tcPr>
          <w:p w14:paraId="1C48637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Conjunctivitis</w:t>
            </w:r>
          </w:p>
        </w:tc>
        <w:tc>
          <w:tcPr>
            <w:tcW w:w="5493" w:type="dxa"/>
          </w:tcPr>
          <w:p w14:paraId="201D9F95"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11FA9C27" w14:textId="77777777">
        <w:trPr>
          <w:trHeight w:val="467"/>
        </w:trPr>
        <w:tc>
          <w:tcPr>
            <w:tcW w:w="3036" w:type="dxa"/>
          </w:tcPr>
          <w:p w14:paraId="6449A2EA"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Giardia</w:t>
            </w:r>
          </w:p>
        </w:tc>
        <w:tc>
          <w:tcPr>
            <w:tcW w:w="5493" w:type="dxa"/>
          </w:tcPr>
          <w:p w14:paraId="77FBCD29"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after symptoms have stopped.</w:t>
            </w:r>
          </w:p>
        </w:tc>
      </w:tr>
      <w:tr w:rsidR="003B338F" w14:paraId="0EB71EB6" w14:textId="77777777">
        <w:trPr>
          <w:trHeight w:val="482"/>
        </w:trPr>
        <w:tc>
          <w:tcPr>
            <w:tcW w:w="3036" w:type="dxa"/>
          </w:tcPr>
          <w:p w14:paraId="56453A31"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Glandular fever</w:t>
            </w:r>
          </w:p>
        </w:tc>
        <w:tc>
          <w:tcPr>
            <w:tcW w:w="5493" w:type="dxa"/>
          </w:tcPr>
          <w:p w14:paraId="38D64238"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 (can return once they feel well).</w:t>
            </w:r>
          </w:p>
        </w:tc>
      </w:tr>
      <w:tr w:rsidR="003B338F" w14:paraId="65088793" w14:textId="77777777">
        <w:trPr>
          <w:trHeight w:val="467"/>
        </w:trPr>
        <w:tc>
          <w:tcPr>
            <w:tcW w:w="3036" w:type="dxa"/>
          </w:tcPr>
          <w:p w14:paraId="2221E0B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Head lice</w:t>
            </w:r>
          </w:p>
        </w:tc>
        <w:tc>
          <w:tcPr>
            <w:tcW w:w="5493" w:type="dxa"/>
          </w:tcPr>
          <w:p w14:paraId="08B6B9F4"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26398052" w14:textId="77777777">
        <w:trPr>
          <w:trHeight w:val="234"/>
        </w:trPr>
        <w:tc>
          <w:tcPr>
            <w:tcW w:w="3036" w:type="dxa"/>
          </w:tcPr>
          <w:p w14:paraId="13460C9D"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Hepatitis A</w:t>
            </w:r>
          </w:p>
        </w:tc>
        <w:tc>
          <w:tcPr>
            <w:tcW w:w="5493" w:type="dxa"/>
          </w:tcPr>
          <w:p w14:paraId="015EA055"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Exclude cases from school while unwell or until 7 days after the onset of jaundice (or onset of symptoms if no jaundice, or if under 5, or where hygiene is poor. There is no need to exclude well, older children with good hygiene who will have been much more infectious prior to diagnosis.</w:t>
            </w:r>
          </w:p>
        </w:tc>
      </w:tr>
      <w:tr w:rsidR="003B338F" w14:paraId="0D035623" w14:textId="77777777">
        <w:trPr>
          <w:trHeight w:val="417"/>
        </w:trPr>
        <w:tc>
          <w:tcPr>
            <w:tcW w:w="3036" w:type="dxa"/>
          </w:tcPr>
          <w:p w14:paraId="06FCA06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Hepatitis B</w:t>
            </w:r>
          </w:p>
        </w:tc>
        <w:tc>
          <w:tcPr>
            <w:tcW w:w="5493" w:type="dxa"/>
          </w:tcPr>
          <w:p w14:paraId="24A29A3A"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 xml:space="preserve">Acute cases of hepatitis B will be too ill to attend school and their doctors will advise when they can return. Do not exclude chronic cases of hepatitis B or restrict their activities. Similarly, do not exclude staff with chronic hepatitis B </w:t>
            </w:r>
            <w:r>
              <w:rPr>
                <w:rFonts w:ascii="Bookman Old Style" w:eastAsia="Bookman Old Style" w:hAnsi="Bookman Old Style" w:cs="Bookman Old Style"/>
              </w:rPr>
              <w:lastRenderedPageBreak/>
              <w:t>infection. Contact your local health protection team for more advice if required.</w:t>
            </w:r>
          </w:p>
        </w:tc>
      </w:tr>
      <w:tr w:rsidR="003B338F" w14:paraId="461B932F" w14:textId="77777777">
        <w:trPr>
          <w:trHeight w:val="482"/>
        </w:trPr>
        <w:tc>
          <w:tcPr>
            <w:tcW w:w="3036" w:type="dxa"/>
          </w:tcPr>
          <w:p w14:paraId="540C3B3E"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lastRenderedPageBreak/>
              <w:t>Hepatitis C</w:t>
            </w:r>
          </w:p>
        </w:tc>
        <w:tc>
          <w:tcPr>
            <w:tcW w:w="5493" w:type="dxa"/>
          </w:tcPr>
          <w:p w14:paraId="74499665"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479BF2F7" w14:textId="77777777">
        <w:trPr>
          <w:trHeight w:val="148"/>
        </w:trPr>
        <w:tc>
          <w:tcPr>
            <w:tcW w:w="3036" w:type="dxa"/>
          </w:tcPr>
          <w:p w14:paraId="2AEA3A8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Meningococcal meningitis/ septicaemia</w:t>
            </w:r>
          </w:p>
        </w:tc>
        <w:tc>
          <w:tcPr>
            <w:tcW w:w="5493" w:type="dxa"/>
          </w:tcPr>
          <w:p w14:paraId="76D43FAE"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If the child has been treated and has recovered, they can return to school.</w:t>
            </w:r>
          </w:p>
        </w:tc>
      </w:tr>
      <w:tr w:rsidR="003B338F" w14:paraId="7CA9DC3B" w14:textId="77777777">
        <w:trPr>
          <w:trHeight w:val="482"/>
        </w:trPr>
        <w:tc>
          <w:tcPr>
            <w:tcW w:w="3036" w:type="dxa"/>
          </w:tcPr>
          <w:p w14:paraId="44C4D834"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Meningitis</w:t>
            </w:r>
          </w:p>
        </w:tc>
        <w:tc>
          <w:tcPr>
            <w:tcW w:w="5493" w:type="dxa"/>
          </w:tcPr>
          <w:p w14:paraId="4EA72100"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Once the child has been treated (if necessary) and has recovered, they can return to school. No exclusion is needed.</w:t>
            </w:r>
          </w:p>
        </w:tc>
      </w:tr>
      <w:tr w:rsidR="003B338F" w14:paraId="0A07B425" w14:textId="77777777">
        <w:trPr>
          <w:trHeight w:val="467"/>
        </w:trPr>
        <w:tc>
          <w:tcPr>
            <w:tcW w:w="3036" w:type="dxa"/>
          </w:tcPr>
          <w:p w14:paraId="1B72BE78"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Meningitis viral</w:t>
            </w:r>
          </w:p>
        </w:tc>
        <w:tc>
          <w:tcPr>
            <w:tcW w:w="5493" w:type="dxa"/>
          </w:tcPr>
          <w:p w14:paraId="1C01BEF6"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73C26D19" w14:textId="77777777">
        <w:trPr>
          <w:trHeight w:val="27"/>
        </w:trPr>
        <w:tc>
          <w:tcPr>
            <w:tcW w:w="3036" w:type="dxa"/>
          </w:tcPr>
          <w:p w14:paraId="64969B9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MRSA (</w:t>
            </w:r>
            <w:proofErr w:type="spellStart"/>
            <w:r>
              <w:rPr>
                <w:rFonts w:ascii="Bookman Old Style" w:eastAsia="Bookman Old Style" w:hAnsi="Bookman Old Style" w:cs="Bookman Old Style"/>
                <w:b/>
              </w:rPr>
              <w:t>meticillin</w:t>
            </w:r>
            <w:proofErr w:type="spellEnd"/>
            <w:r>
              <w:rPr>
                <w:rFonts w:ascii="Bookman Old Style" w:eastAsia="Bookman Old Style" w:hAnsi="Bookman Old Style" w:cs="Bookman Old Style"/>
                <w:b/>
              </w:rPr>
              <w:t xml:space="preserve"> resistant Staphylococcus aureus)</w:t>
            </w:r>
          </w:p>
        </w:tc>
        <w:tc>
          <w:tcPr>
            <w:tcW w:w="5493" w:type="dxa"/>
          </w:tcPr>
          <w:p w14:paraId="00DB2FB9"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4DC46BD1" w14:textId="77777777">
        <w:trPr>
          <w:trHeight w:val="27"/>
        </w:trPr>
        <w:tc>
          <w:tcPr>
            <w:tcW w:w="3036" w:type="dxa"/>
          </w:tcPr>
          <w:p w14:paraId="04E04E53"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Mumps</w:t>
            </w:r>
          </w:p>
        </w:tc>
        <w:tc>
          <w:tcPr>
            <w:tcW w:w="5493" w:type="dxa"/>
          </w:tcPr>
          <w:p w14:paraId="2C2976EF"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5 days after onset of swelling (if well).</w:t>
            </w:r>
          </w:p>
        </w:tc>
      </w:tr>
      <w:tr w:rsidR="003B338F" w14:paraId="0C2218DC" w14:textId="77777777">
        <w:trPr>
          <w:trHeight w:val="467"/>
        </w:trPr>
        <w:tc>
          <w:tcPr>
            <w:tcW w:w="3036" w:type="dxa"/>
          </w:tcPr>
          <w:p w14:paraId="03690539"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Threadworm</w:t>
            </w:r>
          </w:p>
        </w:tc>
        <w:tc>
          <w:tcPr>
            <w:tcW w:w="5493" w:type="dxa"/>
          </w:tcPr>
          <w:p w14:paraId="6EFA1C71"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None.</w:t>
            </w:r>
          </w:p>
        </w:tc>
      </w:tr>
      <w:tr w:rsidR="003B338F" w14:paraId="3F71EF46" w14:textId="77777777">
        <w:trPr>
          <w:trHeight w:val="467"/>
        </w:trPr>
        <w:tc>
          <w:tcPr>
            <w:tcW w:w="3036" w:type="dxa"/>
          </w:tcPr>
          <w:p w14:paraId="13206280" w14:textId="77777777" w:rsidR="003B338F" w:rsidRDefault="00000000">
            <w:pPr>
              <w:ind w:left="0" w:hanging="2"/>
              <w:rPr>
                <w:rFonts w:ascii="Bookman Old Style" w:eastAsia="Bookman Old Style" w:hAnsi="Bookman Old Style" w:cs="Bookman Old Style"/>
              </w:rPr>
            </w:pPr>
            <w:r>
              <w:rPr>
                <w:rFonts w:ascii="Bookman Old Style" w:eastAsia="Bookman Old Style" w:hAnsi="Bookman Old Style" w:cs="Bookman Old Style"/>
                <w:b/>
              </w:rPr>
              <w:t>Rotavirus</w:t>
            </w:r>
          </w:p>
        </w:tc>
        <w:tc>
          <w:tcPr>
            <w:tcW w:w="5493" w:type="dxa"/>
          </w:tcPr>
          <w:p w14:paraId="5C6F9347" w14:textId="77777777" w:rsidR="003B338F" w:rsidRDefault="00000000">
            <w:pPr>
              <w:ind w:left="0" w:hanging="2"/>
              <w:jc w:val="both"/>
              <w:rPr>
                <w:rFonts w:ascii="Bookman Old Style" w:eastAsia="Bookman Old Style" w:hAnsi="Bookman Old Style" w:cs="Bookman Old Style"/>
              </w:rPr>
            </w:pPr>
            <w:r>
              <w:rPr>
                <w:rFonts w:ascii="Bookman Old Style" w:eastAsia="Bookman Old Style" w:hAnsi="Bookman Old Style" w:cs="Bookman Old Style"/>
              </w:rPr>
              <w:t>Until 48 hours after symptoms have subsided.</w:t>
            </w:r>
          </w:p>
        </w:tc>
      </w:tr>
    </w:tbl>
    <w:p w14:paraId="10F51A2A" w14:textId="77777777" w:rsidR="003B338F" w:rsidRDefault="003B338F">
      <w:pPr>
        <w:ind w:left="0" w:hanging="2"/>
        <w:rPr>
          <w:rFonts w:ascii="Bookman Old Style" w:eastAsia="Bookman Old Style" w:hAnsi="Bookman Old Style" w:cs="Bookman Old Style"/>
        </w:rPr>
      </w:pPr>
    </w:p>
    <w:p w14:paraId="25F9668C" w14:textId="77777777" w:rsidR="003B338F" w:rsidRDefault="003B338F">
      <w:pPr>
        <w:tabs>
          <w:tab w:val="right" w:pos="3896"/>
        </w:tabs>
        <w:ind w:left="0" w:right="-44" w:hanging="2"/>
        <w:rPr>
          <w:rFonts w:ascii="Bookman Old Style" w:eastAsia="Bookman Old Style" w:hAnsi="Bookman Old Style" w:cs="Bookman Old Style"/>
          <w:sz w:val="24"/>
          <w:szCs w:val="24"/>
        </w:rPr>
      </w:pPr>
    </w:p>
    <w:sectPr w:rsidR="003B338F">
      <w:headerReference w:type="default" r:id="rId25"/>
      <w:footerReference w:type="default" r:id="rId26"/>
      <w:pgSz w:w="11900" w:h="16840"/>
      <w:pgMar w:top="1440" w:right="1797" w:bottom="1440" w:left="1797" w:header="720" w:footer="107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6AF168" w14:textId="77777777" w:rsidR="005B6A37" w:rsidRDefault="005B6A37">
      <w:pPr>
        <w:spacing w:line="240" w:lineRule="auto"/>
        <w:ind w:left="0" w:hanging="2"/>
      </w:pPr>
      <w:r>
        <w:separator/>
      </w:r>
    </w:p>
  </w:endnote>
  <w:endnote w:type="continuationSeparator" w:id="0">
    <w:p w14:paraId="74B58C88" w14:textId="77777777" w:rsidR="005B6A37" w:rsidRDefault="005B6A3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DF979D3-B8CE-4810-97FC-89070C0AC3C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embedBold r:id="rId2" w:fontKey="{5328351C-1969-4BEA-B4EB-7B22F3E65A8A}"/>
  </w:font>
  <w:font w:name="Calibri">
    <w:panose1 w:val="020F0502020204030204"/>
    <w:charset w:val="00"/>
    <w:family w:val="swiss"/>
    <w:pitch w:val="variable"/>
    <w:sig w:usb0="E4002EFF" w:usb1="C000247B" w:usb2="00000009" w:usb3="00000000" w:csb0="000001FF" w:csb1="00000000"/>
    <w:embedRegular r:id="rId3" w:fontKey="{B36020C3-9A50-4359-9280-57BB0EFE6C3D}"/>
    <w:embedBold r:id="rId4" w:fontKey="{E1A3DF50-AE75-4095-838E-4180CE0327BE}"/>
  </w:font>
  <w:font w:name="Tahoma">
    <w:panose1 w:val="020B0604030504040204"/>
    <w:charset w:val="00"/>
    <w:family w:val="swiss"/>
    <w:pitch w:val="variable"/>
    <w:sig w:usb0="E1002EFF" w:usb1="C000605B" w:usb2="00000029" w:usb3="00000000" w:csb0="000101FF" w:csb1="00000000"/>
    <w:embedRegular r:id="rId5" w:fontKey="{41065C8D-AE2F-464B-A1A2-2DC18F9ADC0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2B544F18-CF69-44F8-BFEE-4ED453F28C8C}"/>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7" w:fontKey="{707E6E73-D0E7-4BCB-8CC5-38A8E8EC2555}"/>
    <w:embedItalic r:id="rId8" w:fontKey="{D5432F16-90EF-4938-B764-1A8CB856C474}"/>
  </w:font>
  <w:font w:name="Bookman Old Style">
    <w:panose1 w:val="02050604050505020204"/>
    <w:charset w:val="00"/>
    <w:family w:val="roman"/>
    <w:pitch w:val="variable"/>
    <w:sig w:usb0="00000287" w:usb1="00000000" w:usb2="00000000" w:usb3="00000000" w:csb0="0000009F" w:csb1="00000000"/>
    <w:embedRegular r:id="rId9" w:fontKey="{CF550B9E-8064-4D96-8382-9FD55B3FC23C}"/>
    <w:embedBold r:id="rId10" w:fontKey="{42102301-48EA-4021-BDCD-50894F0C7192}"/>
    <w:embedItalic r:id="rId11" w:fontKey="{7AB37854-9DB5-47E2-BFF7-38CF2160C3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70EF4" w14:textId="59179CFB" w:rsidR="003B338F" w:rsidRDefault="00000000">
    <w:pPr>
      <w:pBdr>
        <w:top w:val="nil"/>
        <w:left w:val="nil"/>
        <w:bottom w:val="nil"/>
        <w:right w:val="nil"/>
        <w:between w:val="nil"/>
      </w:pBdr>
      <w:tabs>
        <w:tab w:val="center" w:pos="4153"/>
        <w:tab w:val="right" w:pos="8306"/>
      </w:tabs>
      <w:spacing w:line="240" w:lineRule="auto"/>
      <w:ind w:left="0" w:hanging="2"/>
      <w:jc w:val="center"/>
      <w:rPr>
        <w:color w:val="000000"/>
        <w:sz w:val="16"/>
        <w:szCs w:val="16"/>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F80B35">
      <w:rPr>
        <w:b/>
        <w:noProof/>
        <w:color w:val="000000"/>
        <w:sz w:val="16"/>
        <w:szCs w:val="16"/>
      </w:rPr>
      <w:t>2</w:t>
    </w:r>
    <w:r>
      <w:rPr>
        <w:b/>
        <w:color w:val="000000"/>
        <w:sz w:val="16"/>
        <w:szCs w:val="16"/>
      </w:rPr>
      <w:fldChar w:fldCharType="end"/>
    </w:r>
  </w:p>
  <w:p w14:paraId="649597B5" w14:textId="77777777" w:rsidR="003B338F" w:rsidRDefault="003B338F">
    <w:pPr>
      <w:pBdr>
        <w:top w:val="nil"/>
        <w:left w:val="nil"/>
        <w:bottom w:val="nil"/>
        <w:right w:val="nil"/>
        <w:between w:val="nil"/>
      </w:pBdr>
      <w:tabs>
        <w:tab w:val="center" w:pos="4153"/>
        <w:tab w:val="right" w:pos="8306"/>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4E0EF" w14:textId="77777777" w:rsidR="003B338F" w:rsidRDefault="003B338F">
    <w:pPr>
      <w:pBdr>
        <w:top w:val="nil"/>
        <w:left w:val="nil"/>
        <w:bottom w:val="nil"/>
        <w:right w:val="nil"/>
        <w:between w:val="nil"/>
      </w:pBdr>
      <w:spacing w:line="240" w:lineRule="auto"/>
      <w:ind w:left="0" w:hanging="2"/>
      <w:rPr>
        <w:rFonts w:ascii="Times New Roman" w:eastAsia="Times New Roman" w:hAnsi="Times New Roman" w:cs="Times New Roman"/>
        <w:color w:val="000000"/>
        <w:sz w:val="16"/>
        <w:szCs w:val="16"/>
      </w:rPr>
    </w:pPr>
  </w:p>
  <w:p w14:paraId="10B62305" w14:textId="40100B5C" w:rsidR="003B338F" w:rsidRDefault="00000000">
    <w:pPr>
      <w:pBdr>
        <w:top w:val="nil"/>
        <w:left w:val="nil"/>
        <w:bottom w:val="nil"/>
        <w:right w:val="nil"/>
        <w:between w:val="nil"/>
      </w:pBdr>
      <w:spacing w:line="240" w:lineRule="auto"/>
      <w:ind w:left="0" w:hanging="2"/>
      <w:jc w:val="center"/>
      <w:rPr>
        <w:rFonts w:ascii="Times New Roman" w:eastAsia="Times New Roman" w:hAnsi="Times New Roman" w:cs="Times New Roman"/>
        <w:color w:val="000000"/>
        <w:sz w:val="16"/>
        <w:szCs w:val="16"/>
      </w:rPr>
    </w:pPr>
    <w:r>
      <w:rPr>
        <w:rFonts w:ascii="Times New Roman" w:eastAsia="Times New Roman" w:hAnsi="Times New Roman" w:cs="Times New Roman"/>
        <w:b/>
        <w:color w:val="000000"/>
        <w:sz w:val="16"/>
        <w:szCs w:val="16"/>
      </w:rPr>
      <w:t xml:space="preserve">Page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PAGE</w:instrText>
    </w:r>
    <w:r>
      <w:rPr>
        <w:rFonts w:ascii="Times New Roman" w:eastAsia="Times New Roman" w:hAnsi="Times New Roman" w:cs="Times New Roman"/>
        <w:b/>
        <w:color w:val="000000"/>
        <w:sz w:val="16"/>
        <w:szCs w:val="16"/>
      </w:rPr>
      <w:fldChar w:fldCharType="separate"/>
    </w:r>
    <w:r w:rsidR="00F80B35">
      <w:rPr>
        <w:rFonts w:ascii="Times New Roman" w:eastAsia="Times New Roman" w:hAnsi="Times New Roman" w:cs="Times New Roman"/>
        <w:b/>
        <w:noProof/>
        <w:color w:val="000000"/>
        <w:sz w:val="16"/>
        <w:szCs w:val="16"/>
      </w:rPr>
      <w:t>17</w:t>
    </w:r>
    <w:r>
      <w:rPr>
        <w:rFonts w:ascii="Times New Roman" w:eastAsia="Times New Roman" w:hAnsi="Times New Roman" w:cs="Times New Roman"/>
        <w:b/>
        <w:color w:val="000000"/>
        <w:sz w:val="16"/>
        <w:szCs w:val="16"/>
      </w:rPr>
      <w:fldChar w:fldCharType="end"/>
    </w:r>
    <w:r>
      <w:rPr>
        <w:rFonts w:ascii="Times New Roman" w:eastAsia="Times New Roman" w:hAnsi="Times New Roman" w:cs="Times New Roman"/>
        <w:b/>
        <w:color w:val="000000"/>
        <w:sz w:val="16"/>
        <w:szCs w:val="16"/>
      </w:rPr>
      <w:t xml:space="preserve"> of </w:t>
    </w:r>
    <w:r>
      <w:rPr>
        <w:rFonts w:ascii="Times New Roman" w:eastAsia="Times New Roman" w:hAnsi="Times New Roman" w:cs="Times New Roman"/>
        <w:b/>
        <w:color w:val="000000"/>
        <w:sz w:val="16"/>
        <w:szCs w:val="16"/>
      </w:rPr>
      <w:fldChar w:fldCharType="begin"/>
    </w:r>
    <w:r>
      <w:rPr>
        <w:rFonts w:ascii="Times New Roman" w:eastAsia="Times New Roman" w:hAnsi="Times New Roman" w:cs="Times New Roman"/>
        <w:b/>
        <w:color w:val="000000"/>
        <w:sz w:val="16"/>
        <w:szCs w:val="16"/>
      </w:rPr>
      <w:instrText>NUMPAGES</w:instrText>
    </w:r>
    <w:r>
      <w:rPr>
        <w:rFonts w:ascii="Times New Roman" w:eastAsia="Times New Roman" w:hAnsi="Times New Roman" w:cs="Times New Roman"/>
        <w:b/>
        <w:color w:val="000000"/>
        <w:sz w:val="16"/>
        <w:szCs w:val="16"/>
      </w:rPr>
      <w:fldChar w:fldCharType="separate"/>
    </w:r>
    <w:r w:rsidR="00F80B35">
      <w:rPr>
        <w:rFonts w:ascii="Times New Roman" w:eastAsia="Times New Roman" w:hAnsi="Times New Roman" w:cs="Times New Roman"/>
        <w:b/>
        <w:noProof/>
        <w:color w:val="000000"/>
        <w:sz w:val="16"/>
        <w:szCs w:val="16"/>
      </w:rPr>
      <w:t>18</w:t>
    </w:r>
    <w:r>
      <w:rPr>
        <w:rFonts w:ascii="Times New Roman" w:eastAsia="Times New Roman" w:hAnsi="Times New Roman" w:cs="Times New Roman"/>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8964BF" w14:textId="77777777" w:rsidR="005B6A37" w:rsidRDefault="005B6A37">
      <w:pPr>
        <w:spacing w:line="240" w:lineRule="auto"/>
        <w:ind w:left="0" w:hanging="2"/>
      </w:pPr>
      <w:r>
        <w:separator/>
      </w:r>
    </w:p>
  </w:footnote>
  <w:footnote w:type="continuationSeparator" w:id="0">
    <w:p w14:paraId="7DCE20EE" w14:textId="77777777" w:rsidR="005B6A37" w:rsidRDefault="005B6A3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D566C" w14:textId="77777777" w:rsidR="003B338F" w:rsidRDefault="00000000">
    <w:pPr>
      <w:pBdr>
        <w:top w:val="nil"/>
        <w:left w:val="nil"/>
        <w:bottom w:val="single" w:sz="6" w:space="1" w:color="000000"/>
        <w:right w:val="nil"/>
        <w:between w:val="nil"/>
      </w:pBdr>
      <w:tabs>
        <w:tab w:val="center" w:pos="4153"/>
        <w:tab w:val="right" w:pos="8306"/>
      </w:tabs>
      <w:spacing w:line="360" w:lineRule="auto"/>
      <w:ind w:left="0" w:hanging="2"/>
      <w:rPr>
        <w:color w:val="0000FF"/>
        <w:sz w:val="16"/>
        <w:szCs w:val="16"/>
      </w:rPr>
    </w:pPr>
    <w:r>
      <w:rPr>
        <w:color w:val="0000FF"/>
        <w:sz w:val="16"/>
        <w:szCs w:val="16"/>
      </w:rPr>
      <w:t xml:space="preserve">The Yellow House  </w:t>
    </w:r>
  </w:p>
  <w:p w14:paraId="2F895EC1" w14:textId="77777777" w:rsidR="003B338F" w:rsidRDefault="00000000">
    <w:pPr>
      <w:pBdr>
        <w:top w:val="nil"/>
        <w:left w:val="nil"/>
        <w:bottom w:val="single" w:sz="6" w:space="1" w:color="000000"/>
        <w:right w:val="nil"/>
        <w:between w:val="nil"/>
      </w:pBdr>
      <w:tabs>
        <w:tab w:val="center" w:pos="4153"/>
        <w:tab w:val="right" w:pos="8306"/>
      </w:tabs>
      <w:spacing w:line="360" w:lineRule="auto"/>
      <w:ind w:left="0" w:hanging="2"/>
      <w:rPr>
        <w:color w:val="0000FF"/>
        <w:sz w:val="16"/>
        <w:szCs w:val="16"/>
      </w:rPr>
    </w:pPr>
    <w:r>
      <w:rPr>
        <w:smallCaps/>
        <w:color w:val="0000FF"/>
        <w:sz w:val="16"/>
        <w:szCs w:val="16"/>
      </w:rPr>
      <w:t>Health &amp; Safety Policy</w:t>
    </w:r>
  </w:p>
  <w:p w14:paraId="4404CCC8" w14:textId="77777777" w:rsidR="003B338F" w:rsidRDefault="003B338F">
    <w:pPr>
      <w:pBdr>
        <w:top w:val="nil"/>
        <w:left w:val="nil"/>
        <w:bottom w:val="nil"/>
        <w:right w:val="nil"/>
        <w:between w:val="nil"/>
      </w:pBdr>
      <w:tabs>
        <w:tab w:val="center" w:pos="4153"/>
        <w:tab w:val="right" w:pos="8306"/>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09.25pt;height:332.25pt;visibility:visible;mso-wrap-style:square" o:bullet="t">
        <v:imagedata r:id="rId1" o:title=""/>
      </v:shape>
    </w:pict>
  </w:numPicBullet>
  <w:abstractNum w:abstractNumId="0" w15:restartNumberingAfterBreak="0">
    <w:nsid w:val="55403482"/>
    <w:multiLevelType w:val="multilevel"/>
    <w:tmpl w:val="210AE696"/>
    <w:lvl w:ilvl="0">
      <w:start w:val="1"/>
      <w:numFmt w:val="bullet"/>
      <w:lvlText w:val="●"/>
      <w:lvlJc w:val="left"/>
      <w:pPr>
        <w:ind w:left="360" w:hanging="360"/>
      </w:pPr>
      <w:rPr>
        <w:rFonts w:ascii="Noto Sans Symbols" w:eastAsia="Noto Sans Symbols" w:hAnsi="Noto Sans Symbols" w:cs="Noto Sans Symbols"/>
        <w:color w:val="000000"/>
        <w:vertAlign w:val="baseline"/>
      </w:rPr>
    </w:lvl>
    <w:lvl w:ilvl="1">
      <w:start w:val="1"/>
      <w:numFmt w:val="bullet"/>
      <w:lvlText w:val="o"/>
      <w:lvlJc w:val="left"/>
      <w:pPr>
        <w:ind w:left="1364" w:hanging="360"/>
      </w:pPr>
      <w:rPr>
        <w:rFonts w:ascii="Courier New" w:eastAsia="Courier New" w:hAnsi="Courier New" w:cs="Courier New"/>
        <w:vertAlign w:val="baseline"/>
      </w:rPr>
    </w:lvl>
    <w:lvl w:ilvl="2">
      <w:start w:val="1"/>
      <w:numFmt w:val="bullet"/>
      <w:lvlText w:val="▪"/>
      <w:lvlJc w:val="left"/>
      <w:pPr>
        <w:ind w:left="2084" w:hanging="360"/>
      </w:pPr>
      <w:rPr>
        <w:rFonts w:ascii="Noto Sans Symbols" w:eastAsia="Noto Sans Symbols" w:hAnsi="Noto Sans Symbols" w:cs="Noto Sans Symbols"/>
        <w:vertAlign w:val="baseline"/>
      </w:rPr>
    </w:lvl>
    <w:lvl w:ilvl="3">
      <w:start w:val="1"/>
      <w:numFmt w:val="bullet"/>
      <w:lvlText w:val="●"/>
      <w:lvlJc w:val="left"/>
      <w:pPr>
        <w:ind w:left="2804" w:hanging="360"/>
      </w:pPr>
      <w:rPr>
        <w:rFonts w:ascii="Noto Sans Symbols" w:eastAsia="Noto Sans Symbols" w:hAnsi="Noto Sans Symbols" w:cs="Noto Sans Symbols"/>
        <w:vertAlign w:val="baseline"/>
      </w:rPr>
    </w:lvl>
    <w:lvl w:ilvl="4">
      <w:start w:val="1"/>
      <w:numFmt w:val="bullet"/>
      <w:lvlText w:val="o"/>
      <w:lvlJc w:val="left"/>
      <w:pPr>
        <w:ind w:left="3524" w:hanging="360"/>
      </w:pPr>
      <w:rPr>
        <w:rFonts w:ascii="Courier New" w:eastAsia="Courier New" w:hAnsi="Courier New" w:cs="Courier New"/>
        <w:vertAlign w:val="baseline"/>
      </w:rPr>
    </w:lvl>
    <w:lvl w:ilvl="5">
      <w:start w:val="1"/>
      <w:numFmt w:val="bullet"/>
      <w:lvlText w:val="▪"/>
      <w:lvlJc w:val="left"/>
      <w:pPr>
        <w:ind w:left="4244" w:hanging="360"/>
      </w:pPr>
      <w:rPr>
        <w:rFonts w:ascii="Noto Sans Symbols" w:eastAsia="Noto Sans Symbols" w:hAnsi="Noto Sans Symbols" w:cs="Noto Sans Symbols"/>
        <w:vertAlign w:val="baseline"/>
      </w:rPr>
    </w:lvl>
    <w:lvl w:ilvl="6">
      <w:start w:val="1"/>
      <w:numFmt w:val="bullet"/>
      <w:lvlText w:val="●"/>
      <w:lvlJc w:val="left"/>
      <w:pPr>
        <w:ind w:left="4964" w:hanging="360"/>
      </w:pPr>
      <w:rPr>
        <w:rFonts w:ascii="Noto Sans Symbols" w:eastAsia="Noto Sans Symbols" w:hAnsi="Noto Sans Symbols" w:cs="Noto Sans Symbols"/>
        <w:vertAlign w:val="baseline"/>
      </w:rPr>
    </w:lvl>
    <w:lvl w:ilvl="7">
      <w:start w:val="1"/>
      <w:numFmt w:val="bullet"/>
      <w:lvlText w:val="o"/>
      <w:lvlJc w:val="left"/>
      <w:pPr>
        <w:ind w:left="5684" w:hanging="360"/>
      </w:pPr>
      <w:rPr>
        <w:rFonts w:ascii="Courier New" w:eastAsia="Courier New" w:hAnsi="Courier New" w:cs="Courier New"/>
        <w:vertAlign w:val="baseline"/>
      </w:rPr>
    </w:lvl>
    <w:lvl w:ilvl="8">
      <w:start w:val="1"/>
      <w:numFmt w:val="bullet"/>
      <w:lvlText w:val="▪"/>
      <w:lvlJc w:val="left"/>
      <w:pPr>
        <w:ind w:left="6404" w:hanging="360"/>
      </w:pPr>
      <w:rPr>
        <w:rFonts w:ascii="Noto Sans Symbols" w:eastAsia="Noto Sans Symbols" w:hAnsi="Noto Sans Symbols" w:cs="Noto Sans Symbols"/>
        <w:vertAlign w:val="baseline"/>
      </w:rPr>
    </w:lvl>
  </w:abstractNum>
  <w:abstractNum w:abstractNumId="1" w15:restartNumberingAfterBreak="0">
    <w:nsid w:val="6C9A1209"/>
    <w:multiLevelType w:val="multilevel"/>
    <w:tmpl w:val="260E3B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93F39E7"/>
    <w:multiLevelType w:val="multilevel"/>
    <w:tmpl w:val="064E42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EF95988"/>
    <w:multiLevelType w:val="hybridMultilevel"/>
    <w:tmpl w:val="27182D34"/>
    <w:lvl w:ilvl="0" w:tplc="AC34CB06">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662587737">
    <w:abstractNumId w:val="1"/>
  </w:num>
  <w:num w:numId="2" w16cid:durableId="2091193673">
    <w:abstractNumId w:val="2"/>
  </w:num>
  <w:num w:numId="3" w16cid:durableId="467750457">
    <w:abstractNumId w:val="0"/>
  </w:num>
  <w:num w:numId="4" w16cid:durableId="68054976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38F"/>
    <w:rsid w:val="003B338F"/>
    <w:rsid w:val="005B6A37"/>
    <w:rsid w:val="0064023C"/>
    <w:rsid w:val="00655ABD"/>
    <w:rsid w:val="0098600E"/>
    <w:rsid w:val="00F43199"/>
    <w:rsid w:val="00F80B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ED46A"/>
  <w15:docId w15:val="{833813CC-4E2C-4FEE-AE74-EB05E3BCF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overflowPunct w:val="0"/>
      <w:autoSpaceDE w:val="0"/>
      <w:autoSpaceDN w:val="0"/>
      <w:adjustRightInd w:val="0"/>
      <w:spacing w:line="1" w:lineRule="atLeast"/>
      <w:ind w:leftChars="-1" w:left="-1" w:hangingChars="1" w:hanging="1"/>
      <w:textDirection w:val="btLr"/>
      <w:textAlignment w:val="baseline"/>
      <w:outlineLvl w:val="0"/>
    </w:pPr>
    <w:rPr>
      <w:position w:val="-1"/>
      <w:lang w:eastAsia="en-US"/>
    </w:rPr>
  </w:style>
  <w:style w:type="paragraph" w:styleId="Heading1">
    <w:name w:val="heading 1"/>
    <w:basedOn w:val="Normal"/>
    <w:next w:val="Normal"/>
    <w:uiPriority w:val="9"/>
    <w:qFormat/>
    <w:pPr>
      <w:keepNext/>
      <w:tabs>
        <w:tab w:val="right" w:pos="2346"/>
      </w:tabs>
      <w:ind w:right="397"/>
      <w:jc w:val="center"/>
    </w:pPr>
    <w:rPr>
      <w:rFonts w:ascii="Times New Roman" w:hAnsi="Times New Roman"/>
      <w:b/>
      <w:color w:val="0000FF"/>
      <w:sz w:val="72"/>
    </w:rPr>
  </w:style>
  <w:style w:type="paragraph" w:styleId="Heading2">
    <w:name w:val="heading 2"/>
    <w:basedOn w:val="Normal"/>
    <w:next w:val="Normal"/>
    <w:uiPriority w:val="9"/>
    <w:unhideWhenUsed/>
    <w:qFormat/>
    <w:pPr>
      <w:keepNext/>
      <w:tabs>
        <w:tab w:val="right" w:pos="8246"/>
      </w:tabs>
      <w:ind w:right="-44"/>
      <w:outlineLvl w:val="1"/>
    </w:pPr>
    <w:rPr>
      <w:rFonts w:ascii="Times New Roman" w:hAnsi="Times New Roman"/>
      <w:b/>
      <w:sz w:val="24"/>
    </w:rPr>
  </w:style>
  <w:style w:type="paragraph" w:styleId="Heading3">
    <w:name w:val="heading 3"/>
    <w:basedOn w:val="Normal"/>
    <w:next w:val="Normal"/>
    <w:uiPriority w:val="9"/>
    <w:unhideWhenUsed/>
    <w:qFormat/>
    <w:pPr>
      <w:keepNext/>
      <w:tabs>
        <w:tab w:val="right" w:pos="4613"/>
      </w:tabs>
      <w:spacing w:before="240"/>
      <w:ind w:right="-45"/>
      <w:jc w:val="center"/>
      <w:outlineLvl w:val="2"/>
    </w:pPr>
    <w:rPr>
      <w:rFonts w:ascii="Times New Roman" w:hAnsi="Times New Roman"/>
      <w:b/>
      <w:caps/>
      <w:sz w:val="28"/>
    </w:rPr>
  </w:style>
  <w:style w:type="paragraph" w:styleId="Heading4">
    <w:name w:val="heading 4"/>
    <w:basedOn w:val="Normal"/>
    <w:next w:val="Normal"/>
    <w:uiPriority w:val="9"/>
    <w:unhideWhenUsed/>
    <w:qFormat/>
    <w:pPr>
      <w:keepNext/>
      <w:outlineLvl w:val="3"/>
    </w:pPr>
    <w:rPr>
      <w:rFonts w:ascii="Comic Sans MS" w:hAnsi="Comic Sans MS"/>
      <w:b/>
      <w:color w:val="0000FF"/>
    </w:rPr>
  </w:style>
  <w:style w:type="paragraph" w:styleId="Heading5">
    <w:name w:val="heading 5"/>
    <w:basedOn w:val="Normal"/>
    <w:next w:val="Normal"/>
    <w:uiPriority w:val="9"/>
    <w:unhideWhenUsed/>
    <w:qFormat/>
    <w:pPr>
      <w:keepNext/>
      <w:outlineLvl w:val="4"/>
    </w:pPr>
    <w:rPr>
      <w:rFonts w:ascii="Comic Sans MS" w:hAnsi="Comic Sans MS"/>
      <w:b/>
      <w:color w:val="0000FF"/>
      <w:sz w:val="18"/>
    </w:rPr>
  </w:style>
  <w:style w:type="paragraph" w:styleId="Heading6">
    <w:name w:val="heading 6"/>
    <w:basedOn w:val="Normal"/>
    <w:next w:val="Normal"/>
    <w:uiPriority w:val="9"/>
    <w:unhideWhenUsed/>
    <w:qFormat/>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pPr>
      <w:tabs>
        <w:tab w:val="right" w:pos="8246"/>
      </w:tabs>
      <w:ind w:right="-44"/>
    </w:pPr>
    <w:rPr>
      <w:rFonts w:ascii="Times New Roman" w:hAnsi="Times New Roman"/>
      <w:sz w:val="24"/>
    </w:rPr>
  </w:style>
  <w:style w:type="paragraph" w:styleId="BodyText2">
    <w:name w:val="Body Text 2"/>
    <w:basedOn w:val="Normal"/>
    <w:rPr>
      <w:sz w:val="24"/>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character" w:customStyle="1" w:styleId="Heading6Char">
    <w:name w:val="Heading 6 Char"/>
    <w:rPr>
      <w:rFonts w:ascii="Calibri" w:eastAsia="Times New Roman" w:hAnsi="Calibri" w:cs="Times New Roman"/>
      <w:b/>
      <w:bCs/>
      <w:w w:val="100"/>
      <w:position w:val="-1"/>
      <w:sz w:val="22"/>
      <w:szCs w:val="22"/>
      <w:effect w:val="none"/>
      <w:vertAlign w:val="baseline"/>
      <w:cs w:val="0"/>
      <w:em w:val="none"/>
      <w:lang w:val="en-GB"/>
    </w:rPr>
  </w:style>
  <w:style w:type="character" w:customStyle="1" w:styleId="HeaderChar">
    <w:name w:val="Header Char"/>
    <w:rPr>
      <w:rFonts w:ascii="Arial" w:hAnsi="Arial"/>
      <w:w w:val="100"/>
      <w:position w:val="-1"/>
      <w:sz w:val="22"/>
      <w:effect w:val="none"/>
      <w:vertAlign w:val="baseline"/>
      <w:cs w:val="0"/>
      <w:em w:val="none"/>
      <w:lang w:val="en-GB"/>
    </w:rPr>
  </w:style>
  <w:style w:type="character" w:styleId="Hyperlink">
    <w:name w:val="Hyperlink"/>
    <w:qFormat/>
    <w:rPr>
      <w:rFonts w:ascii="Arial" w:hAnsi="Arial"/>
      <w:color w:val="0092CF"/>
      <w:w w:val="100"/>
      <w:position w:val="-1"/>
      <w:sz w:val="20"/>
      <w:u w:val="single"/>
      <w:effect w:val="none"/>
      <w:vertAlign w:val="baseline"/>
      <w:cs w:val="0"/>
      <w:em w:val="none"/>
    </w:rPr>
  </w:style>
  <w:style w:type="character" w:customStyle="1" w:styleId="Heading1Char">
    <w:name w:val="Heading 1 Char"/>
    <w:rPr>
      <w:b/>
      <w:color w:val="0000FF"/>
      <w:w w:val="100"/>
      <w:position w:val="-1"/>
      <w:sz w:val="72"/>
      <w:effect w:val="none"/>
      <w:vertAlign w:val="baseline"/>
      <w:cs w:val="0"/>
      <w:em w:val="none"/>
      <w:lang w:eastAsia="en-US"/>
    </w:rPr>
  </w:style>
  <w:style w:type="paragraph" w:styleId="ListParagraph">
    <w:name w:val="List Paragraph"/>
    <w:basedOn w:val="Normal"/>
    <w:pPr>
      <w:overflowPunct/>
      <w:autoSpaceDE/>
      <w:autoSpaceDN/>
      <w:adjustRightInd/>
      <w:spacing w:before="120" w:after="120"/>
      <w:ind w:left="567" w:hanging="283"/>
      <w:textAlignment w:val="auto"/>
    </w:pPr>
    <w:rPr>
      <w:sz w:val="20"/>
    </w:rPr>
  </w:style>
  <w:style w:type="paragraph" w:styleId="TOC1">
    <w:name w:val="toc 1"/>
    <w:basedOn w:val="Normal"/>
    <w:next w:val="Normal"/>
    <w:qFormat/>
    <w:pPr>
      <w:tabs>
        <w:tab w:val="right" w:leader="dot" w:pos="9338"/>
      </w:tabs>
      <w:overflowPunct/>
      <w:autoSpaceDE/>
      <w:autoSpaceDN/>
      <w:adjustRightInd/>
      <w:spacing w:before="120" w:after="120"/>
      <w:textAlignment w:val="auto"/>
    </w:pPr>
    <w:rPr>
      <w:rFonts w:eastAsia="MS Mincho"/>
      <w:szCs w:val="24"/>
      <w:lang w:val="en-US"/>
    </w:rPr>
  </w:style>
  <w:style w:type="paragraph" w:styleId="TOC2">
    <w:name w:val="toc 2"/>
    <w:basedOn w:val="Normal"/>
    <w:next w:val="Normal"/>
    <w:qFormat/>
    <w:pPr>
      <w:overflowPunct/>
      <w:autoSpaceDE/>
      <w:autoSpaceDN/>
      <w:adjustRightInd/>
      <w:spacing w:before="120" w:after="120"/>
      <w:ind w:left="240"/>
      <w:textAlignment w:val="auto"/>
    </w:pPr>
    <w:rPr>
      <w:rFonts w:eastAsia="MS Mincho"/>
      <w:b/>
      <w:lang w:val="en-US"/>
    </w:rPr>
  </w:style>
  <w:style w:type="paragraph" w:styleId="TOC3">
    <w:name w:val="toc 3"/>
    <w:basedOn w:val="Normal"/>
    <w:next w:val="Normal"/>
    <w:qFormat/>
    <w:pPr>
      <w:overflowPunct/>
      <w:autoSpaceDE/>
      <w:autoSpaceDN/>
      <w:adjustRightInd/>
      <w:spacing w:before="120" w:after="120"/>
      <w:ind w:left="480"/>
      <w:textAlignment w:val="auto"/>
    </w:pPr>
    <w:rPr>
      <w:rFonts w:eastAsia="MS Mincho"/>
      <w:lang w:val="en-US"/>
    </w:rPr>
  </w:style>
  <w:style w:type="character" w:customStyle="1" w:styleId="FooterChar">
    <w:name w:val="Footer Char"/>
    <w:rPr>
      <w:rFonts w:ascii="Arial" w:hAnsi="Arial"/>
      <w:w w:val="100"/>
      <w:position w:val="-1"/>
      <w:sz w:val="22"/>
      <w:effect w:val="none"/>
      <w:vertAlign w:val="baseline"/>
      <w:cs w:val="0"/>
      <w:em w:val="none"/>
      <w:lang w:eastAsia="en-US"/>
    </w:rPr>
  </w:style>
  <w:style w:type="character" w:styleId="PageNumber">
    <w:name w:val="page number"/>
    <w:basedOn w:val="DefaultParagraphFont"/>
    <w:qForma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mbria" w:eastAsia="MS Mincho" w:hAnsi="Cambria"/>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qFormat/>
    <w:pPr>
      <w:overflowPunct/>
      <w:autoSpaceDE/>
      <w:autoSpaceDN/>
      <w:adjustRightInd/>
      <w:spacing w:before="120" w:after="120"/>
      <w:ind w:left="720"/>
      <w:textAlignment w:val="auto"/>
    </w:pPr>
    <w:rPr>
      <w:rFonts w:eastAsia="MS Mincho"/>
      <w:sz w:val="20"/>
      <w:szCs w:val="24"/>
      <w:lang w:val="en-US"/>
    </w:rPr>
  </w:style>
  <w:style w:type="paragraph" w:styleId="TOC5">
    <w:name w:val="toc 5"/>
    <w:basedOn w:val="Normal"/>
    <w:next w:val="Normal"/>
    <w:qFormat/>
    <w:pPr>
      <w:overflowPunct/>
      <w:autoSpaceDE/>
      <w:autoSpaceDN/>
      <w:adjustRightInd/>
      <w:spacing w:before="120" w:after="120"/>
      <w:ind w:left="960"/>
      <w:textAlignment w:val="auto"/>
    </w:pPr>
    <w:rPr>
      <w:rFonts w:eastAsia="MS Mincho"/>
      <w:sz w:val="20"/>
      <w:szCs w:val="24"/>
      <w:lang w:val="en-US"/>
    </w:rPr>
  </w:style>
  <w:style w:type="paragraph" w:styleId="TOC6">
    <w:name w:val="toc 6"/>
    <w:basedOn w:val="Normal"/>
    <w:next w:val="Normal"/>
    <w:qFormat/>
    <w:pPr>
      <w:overflowPunct/>
      <w:autoSpaceDE/>
      <w:autoSpaceDN/>
      <w:adjustRightInd/>
      <w:spacing w:before="120" w:after="120"/>
      <w:ind w:left="1200"/>
      <w:textAlignment w:val="auto"/>
    </w:pPr>
    <w:rPr>
      <w:rFonts w:eastAsia="MS Mincho"/>
      <w:sz w:val="20"/>
      <w:szCs w:val="24"/>
      <w:lang w:val="en-US"/>
    </w:rPr>
  </w:style>
  <w:style w:type="paragraph" w:styleId="TOC7">
    <w:name w:val="toc 7"/>
    <w:basedOn w:val="Normal"/>
    <w:next w:val="Normal"/>
    <w:qFormat/>
    <w:pPr>
      <w:overflowPunct/>
      <w:autoSpaceDE/>
      <w:autoSpaceDN/>
      <w:adjustRightInd/>
      <w:spacing w:before="120" w:after="120"/>
      <w:ind w:left="1440"/>
      <w:textAlignment w:val="auto"/>
    </w:pPr>
    <w:rPr>
      <w:rFonts w:eastAsia="MS Mincho"/>
      <w:sz w:val="20"/>
      <w:szCs w:val="24"/>
      <w:lang w:val="en-US"/>
    </w:rPr>
  </w:style>
  <w:style w:type="paragraph" w:styleId="TOC8">
    <w:name w:val="toc 8"/>
    <w:basedOn w:val="Normal"/>
    <w:next w:val="Normal"/>
    <w:qFormat/>
    <w:pPr>
      <w:overflowPunct/>
      <w:autoSpaceDE/>
      <w:autoSpaceDN/>
      <w:adjustRightInd/>
      <w:spacing w:before="120" w:after="120"/>
      <w:ind w:left="1680"/>
      <w:textAlignment w:val="auto"/>
    </w:pPr>
    <w:rPr>
      <w:rFonts w:eastAsia="MS Mincho"/>
      <w:sz w:val="20"/>
      <w:szCs w:val="24"/>
      <w:lang w:val="en-US"/>
    </w:rPr>
  </w:style>
  <w:style w:type="paragraph" w:styleId="TOC9">
    <w:name w:val="toc 9"/>
    <w:basedOn w:val="Normal"/>
    <w:next w:val="Normal"/>
    <w:qFormat/>
    <w:pPr>
      <w:overflowPunct/>
      <w:autoSpaceDE/>
      <w:autoSpaceDN/>
      <w:adjustRightInd/>
      <w:spacing w:before="120" w:after="120"/>
      <w:ind w:left="1920"/>
      <w:textAlignment w:val="auto"/>
    </w:pPr>
    <w:rPr>
      <w:rFonts w:eastAsia="MS Mincho"/>
      <w:sz w:val="20"/>
      <w:szCs w:val="24"/>
      <w:lang w:val="en-US"/>
    </w:rPr>
  </w:style>
  <w:style w:type="paragraph" w:customStyle="1" w:styleId="Caption1">
    <w:name w:val="Caption 1"/>
    <w:basedOn w:val="Normal"/>
    <w:pPr>
      <w:overflowPunct/>
      <w:autoSpaceDE/>
      <w:autoSpaceDN/>
      <w:adjustRightInd/>
      <w:spacing w:before="120" w:after="120"/>
      <w:textAlignment w:val="auto"/>
    </w:pPr>
    <w:rPr>
      <w:rFonts w:eastAsia="MS Mincho"/>
      <w:i/>
      <w:color w:val="F15F22"/>
      <w:sz w:val="20"/>
      <w:szCs w:val="24"/>
      <w:lang w:val="en-US"/>
    </w:rPr>
  </w:style>
  <w:style w:type="paragraph" w:customStyle="1" w:styleId="Title1">
    <w:name w:val="Title 1"/>
    <w:basedOn w:val="Heading1"/>
    <w:pPr>
      <w:keepLines/>
      <w:tabs>
        <w:tab w:val="clear" w:pos="2346"/>
      </w:tabs>
      <w:overflowPunct/>
      <w:autoSpaceDE/>
      <w:autoSpaceDN/>
      <w:adjustRightInd/>
      <w:spacing w:before="480" w:after="120"/>
      <w:ind w:right="0"/>
      <w:jc w:val="left"/>
      <w:textAlignment w:val="auto"/>
    </w:pPr>
    <w:rPr>
      <w:rFonts w:ascii="Arial" w:eastAsia="MS Gothic" w:hAnsi="Arial"/>
      <w:bCs/>
      <w:color w:val="auto"/>
      <w:sz w:val="56"/>
      <w:szCs w:val="32"/>
      <w:lang w:val="en-US"/>
    </w:rPr>
  </w:style>
  <w:style w:type="character" w:customStyle="1" w:styleId="Title1Char">
    <w:name w:val="Title 1 Char"/>
    <w:rPr>
      <w:rFonts w:ascii="Arial" w:eastAsia="MS Gothic" w:hAnsi="Arial"/>
      <w:b/>
      <w:bCs/>
      <w:w w:val="100"/>
      <w:position w:val="-1"/>
      <w:sz w:val="56"/>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rFonts w:ascii="Cambria" w:eastAsia="MS Mincho" w:hAnsi="Cambria"/>
      <w:position w:val="-1"/>
      <w:sz w:val="24"/>
      <w:szCs w:val="24"/>
      <w:lang w:val="en-US" w:eastAsia="en-US"/>
    </w:rPr>
  </w:style>
  <w:style w:type="character" w:styleId="FollowedHyperlink">
    <w:name w:val="FollowedHyperlink"/>
    <w:qFormat/>
    <w:rPr>
      <w:color w:val="954F72"/>
      <w:w w:val="100"/>
      <w:position w:val="-1"/>
      <w:u w:val="single"/>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7" w:type="dxa"/>
        <w:bottom w:w="57" w:type="dxa"/>
      </w:tblCellMar>
    </w:tblPr>
  </w:style>
  <w:style w:type="table" w:customStyle="1" w:styleId="a0">
    <w:basedOn w:val="TableNormal"/>
    <w:tblPr>
      <w:tblStyleRowBandSize w:val="1"/>
      <w:tblStyleColBandSize w:val="1"/>
      <w:tblCellMar>
        <w:top w:w="113" w:type="dxa"/>
        <w:bottom w:w="113" w:type="dxa"/>
      </w:tblCellMar>
    </w:tblPr>
  </w:style>
  <w:style w:type="table" w:customStyle="1" w:styleId="a1">
    <w:basedOn w:val="TableNormal"/>
    <w:tblPr>
      <w:tblStyleRowBandSize w:val="1"/>
      <w:tblStyleColBandSize w:val="1"/>
      <w:tblCellMar>
        <w:top w:w="113" w:type="dxa"/>
        <w:bottom w:w="113" w:type="dxa"/>
      </w:tblCellMar>
    </w:tblPr>
  </w:style>
  <w:style w:type="table" w:customStyle="1" w:styleId="a2">
    <w:basedOn w:val="TableNormal"/>
    <w:tblPr>
      <w:tblStyleRowBandSize w:val="1"/>
      <w:tblStyleColBandSize w:val="1"/>
      <w:tblCellMar>
        <w:top w:w="113" w:type="dxa"/>
        <w:bottom w:w="113" w:type="dxa"/>
      </w:tblCellMar>
    </w:tblPr>
  </w:style>
  <w:style w:type="table" w:customStyle="1" w:styleId="a3">
    <w:basedOn w:val="TableNormal"/>
    <w:tblPr>
      <w:tblStyleRowBandSize w:val="1"/>
      <w:tblStyleColBandSize w:val="1"/>
      <w:tblCellMar>
        <w:top w:w="113" w:type="dxa"/>
        <w:bottom w:w="113" w:type="dxa"/>
      </w:tblCellMar>
    </w:tblPr>
  </w:style>
  <w:style w:type="paragraph" w:customStyle="1" w:styleId="1bodycopy10pt">
    <w:name w:val="1 body copy 10pt"/>
    <w:basedOn w:val="Normal"/>
    <w:link w:val="1bodycopy10ptChar"/>
    <w:qFormat/>
    <w:rsid w:val="0064023C"/>
    <w:pPr>
      <w:suppressAutoHyphens w:val="0"/>
      <w:overflowPunct/>
      <w:autoSpaceDE/>
      <w:autoSpaceDN/>
      <w:adjustRightInd/>
      <w:spacing w:after="120" w:line="240" w:lineRule="auto"/>
      <w:ind w:leftChars="0" w:left="0" w:firstLineChars="0" w:firstLine="0"/>
      <w:textDirection w:val="lrTb"/>
      <w:textAlignment w:val="auto"/>
      <w:outlineLvl w:val="9"/>
    </w:pPr>
    <w:rPr>
      <w:rFonts w:eastAsia="MS Mincho" w:cs="Times New Roman"/>
      <w:position w:val="0"/>
      <w:sz w:val="20"/>
      <w:szCs w:val="24"/>
      <w:lang w:val="en-US"/>
    </w:rPr>
  </w:style>
  <w:style w:type="character" w:customStyle="1" w:styleId="1bodycopy10ptChar">
    <w:name w:val="1 body copy 10pt Char"/>
    <w:link w:val="1bodycopy10pt"/>
    <w:rsid w:val="0064023C"/>
    <w:rPr>
      <w:rFonts w:eastAsia="MS Mincho" w:cs="Times New Roman"/>
      <w:sz w:val="20"/>
      <w:szCs w:val="24"/>
      <w:lang w:val="en-US" w:eastAsia="en-US"/>
    </w:rPr>
  </w:style>
  <w:style w:type="paragraph" w:customStyle="1" w:styleId="4Heading1">
    <w:name w:val="4 Heading 1"/>
    <w:basedOn w:val="Heading1"/>
    <w:next w:val="Normal"/>
    <w:qFormat/>
    <w:rsid w:val="0064023C"/>
    <w:pPr>
      <w:keepNext w:val="0"/>
      <w:tabs>
        <w:tab w:val="clear" w:pos="2346"/>
      </w:tabs>
      <w:suppressAutoHyphens w:val="0"/>
      <w:overflowPunct/>
      <w:autoSpaceDE/>
      <w:autoSpaceDN/>
      <w:adjustRightInd/>
      <w:spacing w:before="120" w:after="120" w:line="240" w:lineRule="auto"/>
      <w:ind w:leftChars="0" w:left="0" w:right="0" w:firstLineChars="0" w:firstLine="0"/>
      <w:jc w:val="left"/>
      <w:textDirection w:val="lrTb"/>
      <w:textAlignment w:val="auto"/>
    </w:pPr>
    <w:rPr>
      <w:rFonts w:ascii="Arial" w:eastAsia="Calibri" w:hAnsi="Arial"/>
      <w:color w:val="FF1F64"/>
      <w:position w:val="0"/>
      <w:sz w:val="28"/>
      <w:szCs w:val="36"/>
    </w:rPr>
  </w:style>
  <w:style w:type="paragraph" w:customStyle="1" w:styleId="3Bulletedcopyblue">
    <w:name w:val="3 Bulleted copy blue"/>
    <w:basedOn w:val="Normal"/>
    <w:qFormat/>
    <w:rsid w:val="0064023C"/>
    <w:pPr>
      <w:numPr>
        <w:numId w:val="4"/>
      </w:numPr>
      <w:suppressAutoHyphens w:val="0"/>
      <w:overflowPunct/>
      <w:autoSpaceDE/>
      <w:autoSpaceDN/>
      <w:adjustRightInd/>
      <w:spacing w:after="120" w:line="240" w:lineRule="auto"/>
      <w:ind w:leftChars="0" w:right="284" w:firstLineChars="0"/>
      <w:textDirection w:val="lrTb"/>
      <w:textAlignment w:val="auto"/>
      <w:outlineLvl w:val="9"/>
    </w:pPr>
    <w:rPr>
      <w:rFonts w:eastAsia="MS Mincho"/>
      <w:position w:val="0"/>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gislation.gov.uk/uksi/1999/3242/contents/made" TargetMode="External"/><Relationship Id="rId18" Type="http://schemas.openxmlformats.org/officeDocument/2006/relationships/hyperlink" Target="http://www.legislation.gov.uk/uksi/2005/1541/part/2/mad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gov.uk/government/publications/covid-19-response-living-with-covid-19" TargetMode="External"/><Relationship Id="rId7" Type="http://schemas.openxmlformats.org/officeDocument/2006/relationships/endnotes" Target="endnotes.xml"/><Relationship Id="rId12" Type="http://schemas.openxmlformats.org/officeDocument/2006/relationships/hyperlink" Target="http://www.legislation.gov.uk/uksi/1992/2051/regulation/3/made" TargetMode="External"/><Relationship Id="rId17" Type="http://schemas.openxmlformats.org/officeDocument/2006/relationships/hyperlink" Target="http://www.legislation.gov.uk/uksi/1998/2451/regulation/4/mad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egislation.gov.uk/uksi/1992/2792/contents/made" TargetMode="External"/><Relationship Id="rId20" Type="http://schemas.openxmlformats.org/officeDocument/2006/relationships/hyperlink" Target="https://www.gov.uk/government/publications/health-protection-in-schools-and-other-childcare-facilities/chapter-9-managing-specific-infectious-diseas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pga/1974/37" TargetMode="External"/><Relationship Id="rId24" Type="http://schemas.openxmlformats.org/officeDocument/2006/relationships/hyperlink" Target="https://www.gov.uk/government/publications/health-protection-in-schools-and-other-childcare-facilities/chapter-9-managing-specific-infectious-diseases" TargetMode="External"/><Relationship Id="rId5" Type="http://schemas.openxmlformats.org/officeDocument/2006/relationships/webSettings" Target="webSettings.xml"/><Relationship Id="rId15" Type="http://schemas.openxmlformats.org/officeDocument/2006/relationships/hyperlink" Target="http://www.legislation.gov.uk/uksi/2013/1471/schedule/1/paragraph/1/mad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www.hse.gov.uk/pubns/edis1.htm" TargetMode="External"/><Relationship Id="rId19" Type="http://schemas.openxmlformats.org/officeDocument/2006/relationships/hyperlink" Target="http://www.legislation.gov.uk/uksi/2005/735/contents/made" TargetMode="External"/><Relationship Id="rId4" Type="http://schemas.openxmlformats.org/officeDocument/2006/relationships/settings" Target="settings.xml"/><Relationship Id="rId9" Type="http://schemas.openxmlformats.org/officeDocument/2006/relationships/hyperlink" Target="https://www.gov.uk/government/publications/health-and-safety-advice-for-schools" TargetMode="External"/><Relationship Id="rId14" Type="http://schemas.openxmlformats.org/officeDocument/2006/relationships/hyperlink" Target="http://www.legislation.gov.uk/uksi/2002/2677/contents/made" TargetMode="External"/><Relationship Id="rId22" Type="http://schemas.openxmlformats.org/officeDocument/2006/relationships/hyperlink" Target="http://www.hse.gov.uk/riddor/report.htm"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HvWifG2tQzLg7eGRPQWIahfYNiw==">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19</Pages>
  <Words>4889</Words>
  <Characters>27873</Characters>
  <Application>Microsoft Office Word</Application>
  <DocSecurity>0</DocSecurity>
  <Lines>232</Lines>
  <Paragraphs>65</Paragraphs>
  <ScaleCrop>false</ScaleCrop>
  <Company/>
  <LinksUpToDate>false</LinksUpToDate>
  <CharactersWithSpaces>32697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Ward</dc:creator>
  <cp:lastModifiedBy>David Ollier</cp:lastModifiedBy>
  <cp:revision>3</cp:revision>
  <dcterms:created xsi:type="dcterms:W3CDTF">2025-01-20T15:25:00Z</dcterms:created>
  <dcterms:modified xsi:type="dcterms:W3CDTF">2025-10-02T10:59:00Z</dcterms:modified>
</cp:coreProperties>
</file>